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A515DA" w14:textId="77777777" w:rsidR="007D393A" w:rsidRPr="00E41F21" w:rsidRDefault="007D393A" w:rsidP="007D393A">
      <w:pPr>
        <w:pStyle w:val="Head"/>
        <w:bidi w:val="0"/>
      </w:pPr>
      <w:r>
        <w:rPr>
          <w:lang w:val="it-it"/>
          <w:b w:val="1"/>
          <w:bCs w:val="1"/>
          <w:i w:val="0"/>
          <w:iCs w:val="0"/>
          <w:u w:val="none"/>
          <w:vertAlign w:val="baseline"/>
          <w:rtl w:val="0"/>
        </w:rPr>
        <w:t xml:space="preserve">Kleemann │ Supporto digitale nel</w:t>
      </w:r>
      <w:r>
        <w:rPr>
          <w:sz w:val="26"/>
          <w:szCs w:val="26"/>
          <w:lang w:val="it-it"/>
          <w:b w:val="1"/>
          <w:bCs w:val="1"/>
          <w:i w:val="0"/>
          <w:iCs w:val="0"/>
          <w:u w:val="none"/>
          <w:vertAlign w:val="baseline"/>
          <w:rtl w:val="0"/>
        </w:rPr>
        <w:t xml:space="preserve"> </w:t>
      </w:r>
      <w:r>
        <w:rPr>
          <w:lang w:val="it-it"/>
          <w:b w:val="1"/>
          <w:bCs w:val="1"/>
          <w:i w:val="0"/>
          <w:iCs w:val="0"/>
          <w:u w:val="none"/>
          <w:vertAlign w:val="baseline"/>
          <w:rtl w:val="0"/>
        </w:rPr>
        <w:t xml:space="preserve">processo di frantumazione</w:t>
      </w:r>
    </w:p>
    <w:p w14:paraId="09443CD1" w14:textId="77777777" w:rsidR="007D393A" w:rsidRPr="00E41F21" w:rsidRDefault="007D393A" w:rsidP="007D393A">
      <w:pPr>
        <w:pStyle w:val="Subhead"/>
        <w:bidi w:val="0"/>
      </w:pPr>
      <w:r>
        <w:rPr>
          <w:lang w:val="it-it"/>
          <w:b w:val="1"/>
          <w:bCs w:val="1"/>
          <w:i w:val="0"/>
          <w:iCs w:val="0"/>
          <w:u w:val="none"/>
          <w:vertAlign w:val="baseline"/>
          <w:rtl w:val="0"/>
        </w:rPr>
        <w:t xml:space="preserve">WPT Crushing: </w:t>
      </w:r>
      <w:r>
        <w:rPr>
          <w:lang w:val="it-it"/>
          <w:b w:val="1"/>
          <w:bCs w:val="1"/>
          <w:i w:val="0"/>
          <w:iCs w:val="0"/>
          <w:u w:val="none"/>
          <w:vertAlign w:val="baseline"/>
          <w:rtl w:val="0"/>
        </w:rPr>
        <w:t xml:space="preserve">ottimizzare i processi a livello digitale</w:t>
      </w:r>
    </w:p>
    <w:p w14:paraId="19DDD1A1" w14:textId="77777777" w:rsidR="007D393A" w:rsidRPr="00E41F21" w:rsidRDefault="007D393A" w:rsidP="007D393A">
      <w:pPr>
        <w:pStyle w:val="Teaser"/>
        <w:bidi w:val="0"/>
      </w:pPr>
      <w:r>
        <w:rPr>
          <w:lang w:val="it-it"/>
          <w:b w:val="1"/>
          <w:bCs w:val="1"/>
          <w:i w:val="0"/>
          <w:iCs w:val="0"/>
          <w:u w:val="none"/>
          <w:vertAlign w:val="baseline"/>
          <w:rtl w:val="0"/>
        </w:rPr>
        <w:t xml:space="preserve">Sia nella cava che nel riciclaggio, è importante monitorare e controllare in modo efficiente il processo di frantumazione. Il Wirtgen Group Performance Tracker (WPT) porta le cifre chiave sullo schermo dell’ufficio in tempo reale. </w:t>
      </w:r>
      <w:r>
        <w:rPr>
          <w:lang w:val="it-it"/>
          <w:b w:val="1"/>
          <w:bCs w:val="1"/>
          <w:i w:val="0"/>
          <w:iCs w:val="0"/>
          <w:u w:val="none"/>
          <w:vertAlign w:val="baseline"/>
          <w:rtl w:val="0"/>
        </w:rPr>
        <w:t xml:space="preserve">Questo consente di monitorare il processo di frantumazione e di delineare strategie per l’ottimizzazione. </w:t>
      </w:r>
      <w:r>
        <w:rPr>
          <w:lang w:val="it-it"/>
          <w:b w:val="1"/>
          <w:bCs w:val="1"/>
          <w:i w:val="0"/>
          <w:iCs w:val="0"/>
          <w:u w:val="none"/>
          <w:vertAlign w:val="baseline"/>
          <w:rtl w:val="0"/>
        </w:rPr>
        <w:t xml:space="preserve">Le macchine dotate di WPT Crushing forniscono dati di prestazione direttamente al John Deere Operations Center</w:t>
      </w:r>
      <w:r>
        <w:rPr>
          <w:lang w:val="it-it"/>
          <w:b w:val="1"/>
          <w:bCs w:val="1"/>
          <w:i w:val="0"/>
          <w:iCs w:val="0"/>
          <w:u w:val="none"/>
          <w:vertAlign w:val="superscript"/>
          <w:rtl w:val="0"/>
        </w:rPr>
        <w:t xml:space="preserve">TM</w:t>
      </w:r>
      <w:r>
        <w:rPr>
          <w:lang w:val="it-it"/>
          <w:b w:val="1"/>
          <w:bCs w:val="1"/>
          <w:i w:val="0"/>
          <w:iCs w:val="0"/>
          <w:u w:val="none"/>
          <w:vertAlign w:val="baseline"/>
          <w:rtl w:val="0"/>
        </w:rPr>
        <w:t xml:space="preserve">, la piattaforma telematica centrale per la gestione dei cantieri. </w:t>
      </w:r>
    </w:p>
    <w:p w14:paraId="6DBFCDB3" w14:textId="77777777" w:rsidR="007D393A" w:rsidRPr="00E41F21" w:rsidRDefault="007D393A" w:rsidP="007D393A">
      <w:pPr>
        <w:pStyle w:val="Standardabsatz"/>
        <w:bidi w:val="0"/>
      </w:pPr>
      <w:r>
        <w:rPr>
          <w:lang w:val="it-it"/>
          <w:b w:val="0"/>
          <w:bCs w:val="0"/>
          <w:i w:val="0"/>
          <w:iCs w:val="0"/>
          <w:u w:val="none"/>
          <w:vertAlign w:val="baseline"/>
          <w:rtl w:val="0"/>
        </w:rPr>
        <w:t xml:space="preserve">La misurazione e la documentazione delle prestazioni delle macchine rientrano tra le competenze di base di WPT Crushing. Il sistema fornisce dati sulle prestazioni del frantoio in tempo reale. I dati misurati vengono valutati continuamente e vengono messi a disposizione degli utenti in modo chiaro. WPT Crushing fornisce quindi informazioni preziose sui progetti in corso nei cantieri. Quando viene utilizzato a lungo termine, il sistema può contribuire a un aumento di produttività, efficienza e qualità in ogni singolo cantiere. </w:t>
      </w:r>
    </w:p>
    <w:p w14:paraId="72433F6A" w14:textId="77777777" w:rsidR="007D393A" w:rsidRPr="00E41F21" w:rsidRDefault="007D393A" w:rsidP="007D393A">
      <w:pPr>
        <w:pStyle w:val="Absatzberschrift"/>
        <w:bidi w:val="0"/>
      </w:pPr>
      <w:r>
        <w:rPr>
          <w:lang w:val="it-it"/>
          <w:b w:val="1"/>
          <w:bCs w:val="1"/>
          <w:i w:val="0"/>
          <w:iCs w:val="0"/>
          <w:u w:val="none"/>
          <w:vertAlign w:val="baseline"/>
          <w:rtl w:val="0"/>
        </w:rPr>
        <w:t xml:space="preserve">Semplificare i processi, aumentare la produttività</w:t>
      </w:r>
    </w:p>
    <w:p w14:paraId="18E4BB39" w14:textId="77777777" w:rsidR="007D393A" w:rsidRPr="00E41F21" w:rsidRDefault="007D393A" w:rsidP="007D393A">
      <w:pPr>
        <w:pStyle w:val="Standardabsatz"/>
        <w:bidi w:val="0"/>
      </w:pPr>
      <w:r>
        <w:rPr>
          <w:lang w:val="it-it"/>
          <w:b w:val="0"/>
          <w:bCs w:val="0"/>
          <w:i w:val="0"/>
          <w:iCs w:val="0"/>
          <w:u w:val="none"/>
          <w:vertAlign w:val="baseline"/>
          <w:rtl w:val="0"/>
        </w:rPr>
        <w:t xml:space="preserve">I vantaggi sono molteplici: la pianificazione è semplificata, i progressi della produzione si possono monitorare a distanza ed è possibile gestire più rapidamente i cali di produzione. Un operatore di diversi impianti può confrontarne l’efficienza in modo trasparente in diverse località, senza fare nemmeno una chiamata. “I vantaggi per l’utente sono davvero notevoli”, afferma Jörg Schaudig, Product Manager per le soluzioni digitali presso Kleemann. “Gli utenti possono prendere decisioni basate sui fatti e sui dati. Tra le altre cose, questo consente di trarre conclusioni sulle impostazioni della macchina che portano a risultati e quindi ottimizzare la potenza di frantumazione. E, quindi, efficienza e redditività aumentano.”</w:t>
      </w:r>
    </w:p>
    <w:p w14:paraId="19EF3AF9" w14:textId="77777777" w:rsidR="007D393A" w:rsidRPr="00E41F21" w:rsidRDefault="007D393A" w:rsidP="007D393A">
      <w:pPr>
        <w:pStyle w:val="Teaserhead"/>
        <w:jc w:val="left"/>
        <w:bidi w:val="0"/>
      </w:pPr>
      <w:r>
        <w:rPr>
          <w:lang w:val="it-it"/>
          <w:b w:val="1"/>
          <w:bCs w:val="1"/>
          <w:i w:val="0"/>
          <w:iCs w:val="0"/>
          <w:u w:val="none"/>
          <w:vertAlign w:val="baseline"/>
          <w:rtl w:val="0"/>
        </w:rPr>
        <w:t xml:space="preserve">Requisiti tecnici</w:t>
      </w:r>
    </w:p>
    <w:p w14:paraId="09B61DF4" w14:textId="77777777" w:rsidR="007D393A" w:rsidRPr="00E41F21" w:rsidRDefault="007D393A" w:rsidP="007D393A">
      <w:pPr>
        <w:pStyle w:val="Fotos"/>
        <w:jc w:val="both"/>
        <w:rPr>
          <w:b w:val="0"/>
        </w:rPr>
        <w:bidi w:val="0"/>
      </w:pPr>
      <w:r>
        <w:rPr>
          <w:lang w:val="it-it"/>
          <w:b w:val="0"/>
          <w:bCs w:val="0"/>
          <w:i w:val="0"/>
          <w:iCs w:val="0"/>
          <w:u w:val="none"/>
          <w:vertAlign w:val="baseline"/>
          <w:rtl w:val="0"/>
        </w:rPr>
        <w:t xml:space="preserve">Per consentire a WPT Crushing di fornire dati affidabili, è necessario installare diversi componenti sul frantoio. Da un lato, l’hardware: la pesatrice a nastro con controllo della velocità del nastro trasportatore e una cella di pesatura per il nastro trasportatore. La pesatrice del nastro trasportatore misura il carico del nastro su una sezione definita del nastro, il sensore di velocità rileva la velocità del nastro trasportatore in movimento. Un’antenna GPS e un’antenna per telefoni cellulari installate sull’impianto garantiscono la trasmissione dei dati. Inoltre, è presente l’MTG (unità telematica), che funge da dispositivo di comunicazione ed elaborazione ed è standard su tutti gli impianti Kleemann supportati. </w:t>
      </w:r>
    </w:p>
    <w:p w14:paraId="2AA7D5A9" w14:textId="77777777" w:rsidR="007D393A" w:rsidRPr="00E41F21" w:rsidRDefault="007D393A" w:rsidP="007D393A">
      <w:pPr>
        <w:pStyle w:val="Standardabsatz"/>
        <w:bidi w:val="0"/>
      </w:pPr>
      <w:r>
        <w:rPr>
          <w:lang w:val="it-it"/>
          <w:b w:val="0"/>
          <w:bCs w:val="0"/>
          <w:i w:val="0"/>
          <w:iCs w:val="0"/>
          <w:u w:val="none"/>
          <w:vertAlign w:val="baseline"/>
          <w:rtl w:val="0"/>
        </w:rPr>
        <w:t xml:space="preserve">Manutenzione e cura dei componenti sono semplici. Ad esempio, si può eseguire la calibrazione regolare tramite l’interfaccia utente SPECTIVE TOUCH oppure tramite un dispositivo mobile SPECTIVE CONNECT in sette passaggi guidati. La ricalibrazione è necessaria a certi intervalli quando l’impianto viene spostato, dopo le funzioni di attrezzaggio o a causa di influenze ambientali. Una calibrazione regolare garantisce la precisione delle misurazioni.</w:t>
      </w:r>
    </w:p>
    <w:p w14:paraId="03BC7AD5" w14:textId="77777777" w:rsidR="007D393A" w:rsidRPr="00E41F21" w:rsidRDefault="007D393A" w:rsidP="007D393A">
      <w:pPr>
        <w:pStyle w:val="Teaserhead"/>
        <w:bidi w:val="0"/>
      </w:pPr>
      <w:r>
        <w:rPr>
          <w:lang w:val="it-it"/>
          <w:b w:val="1"/>
          <w:bCs w:val="1"/>
          <w:i w:val="0"/>
          <w:iCs w:val="0"/>
          <w:u w:val="none"/>
          <w:vertAlign w:val="baseline"/>
          <w:rtl w:val="0"/>
        </w:rPr>
        <w:t xml:space="preserve">Misurazione continua dei dati</w:t>
      </w:r>
    </w:p>
    <w:p w14:paraId="70C0E6F6" w14:textId="77777777" w:rsidR="007D393A" w:rsidRPr="00E41F21" w:rsidRDefault="007D393A" w:rsidP="007D393A">
      <w:pPr>
        <w:pStyle w:val="Fotos"/>
        <w:jc w:val="both"/>
        <w:rPr>
          <w:b w:val="0"/>
        </w:rPr>
        <w:bidi w:val="0"/>
      </w:pPr>
      <w:r>
        <w:rPr>
          <w:lang w:val="it-it"/>
          <w:b w:val="0"/>
          <w:bCs w:val="0"/>
          <w:i w:val="0"/>
          <w:iCs w:val="0"/>
          <w:u w:val="none"/>
          <w:vertAlign w:val="baseline"/>
          <w:rtl w:val="0"/>
        </w:rPr>
        <w:t xml:space="preserve">I dati di produzione vengono registrati ogni secondo, trasmessi via rete mobile ed elaborati nel cloud dopo pochi minuti. La posizione esatta dell’impianto è visibile in ogni momento tramite la connessione satellitare che fornisce una panoramica ottimale dei cantieri, anche da lontano. È stata considerata anche l’apertura del sistema: grazie all’interfaccia standardizzata AEMP 2.0, i dati standardizzati della macchina si possono trasferire già oggi al software aziendale. I frantoi già messi in funzione con un’unità telematica (TCU) del Wirtgen Group di generazione precedente si possono aggiornare in qualsiasi momento con WPT Crushing.</w:t>
      </w:r>
    </w:p>
    <w:p w14:paraId="3369644D" w14:textId="77777777" w:rsidR="007D393A" w:rsidRPr="00E41F21" w:rsidRDefault="007D393A" w:rsidP="007D393A">
      <w:pPr>
        <w:pStyle w:val="Teaserhead"/>
        <w:bidi w:val="0"/>
      </w:pPr>
      <w:r>
        <w:rPr>
          <w:lang w:val="it-it"/>
          <w:b w:val="1"/>
          <w:bCs w:val="1"/>
          <w:i w:val="0"/>
          <w:iCs w:val="0"/>
          <w:u w:val="none"/>
          <w:vertAlign w:val="baseline"/>
          <w:rtl w:val="0"/>
        </w:rPr>
        <w:t xml:space="preserve">Gestione della flotta: </w:t>
      </w:r>
      <w:r>
        <w:rPr>
          <w:lang w:val="it-it"/>
          <w:b w:val="1"/>
          <w:bCs w:val="1"/>
          <w:i w:val="0"/>
          <w:iCs w:val="0"/>
          <w:u w:val="none"/>
          <w:vertAlign w:val="baseline"/>
          <w:rtl w:val="0"/>
        </w:rPr>
        <w:t xml:space="preserve">pianificazione e trasparenza</w:t>
      </w:r>
    </w:p>
    <w:p w14:paraId="6D39BE67" w14:textId="77777777" w:rsidR="007D393A" w:rsidRPr="00E41F21" w:rsidRDefault="007D393A" w:rsidP="007D393A">
      <w:pPr>
        <w:pStyle w:val="Fotos"/>
        <w:jc w:val="both"/>
        <w:rPr>
          <w:b w:val="0"/>
        </w:rPr>
        <w:bidi w:val="0"/>
      </w:pPr>
      <w:r>
        <w:rPr>
          <w:lang w:val="it-it"/>
          <w:b w:val="0"/>
          <w:bCs w:val="0"/>
          <w:i w:val="0"/>
          <w:iCs w:val="0"/>
          <w:u w:val="none"/>
          <w:vertAlign w:val="baseline"/>
          <w:rtl w:val="0"/>
        </w:rPr>
        <w:t xml:space="preserve">Grazie a WPT Crushing diverse persone in diverse funzioni possono accedere ai dati contemporaneamente: dall’operatore al responsabile del cantiere fino alla gestione. Ad esempio, un gestore di flotta può vedere che una macchina consuma una quantità superiore alla media. Il confronto tra prestazioni e consumo consente di trarre conclusioni sull’efficienza. Il responsabile della flotta può analizzare le condizioni operative, suggerire misure e quindi ottimizzare la performance. </w:t>
      </w:r>
    </w:p>
    <w:p w14:paraId="5B4A6CDA" w14:textId="77777777" w:rsidR="007D393A" w:rsidRPr="00E41F21" w:rsidRDefault="007D393A" w:rsidP="007D393A">
      <w:pPr>
        <w:pStyle w:val="Fotos"/>
        <w:jc w:val="both"/>
        <w:rPr>
          <w:b w:val="0"/>
        </w:rPr>
        <w:bidi w:val="0"/>
      </w:pPr>
      <w:r>
        <w:rPr>
          <w:lang w:val="it-it"/>
          <w:b w:val="0"/>
          <w:bCs w:val="0"/>
          <w:i w:val="0"/>
          <w:iCs w:val="0"/>
          <w:u w:val="none"/>
          <w:vertAlign w:val="baseline"/>
          <w:rtl w:val="0"/>
        </w:rPr>
        <w:t xml:space="preserve">Per i disponenti logistici, WPT Crushing, con i più importanti dati sulle prestazioni, è uno strumento analitico utile: le informazioni sono accessibili da qualsiasi posizione. Nelle aziende con diversi frantoi mobili in uso, il progresso della produzione può essere letto in ogni sede e i colli di bottiglia possono essere rilevati nelle prime fasi iniziali. Questo rende i processi più trasparenti e le decisioni più fondate. </w:t>
      </w:r>
    </w:p>
    <w:p w14:paraId="513ED5B7" w14:textId="77777777" w:rsidR="007D393A" w:rsidRPr="00E41F21" w:rsidRDefault="007D393A" w:rsidP="007D393A">
      <w:pPr>
        <w:pStyle w:val="Teaserhead"/>
        <w:bidi w:val="0"/>
      </w:pPr>
      <w:r>
        <w:rPr>
          <w:lang w:val="it-it"/>
          <w:b w:val="1"/>
          <w:bCs w:val="1"/>
          <w:i w:val="0"/>
          <w:iCs w:val="0"/>
          <w:u w:val="none"/>
          <w:vertAlign w:val="baseline"/>
          <w:rtl w:val="0"/>
        </w:rPr>
        <w:t xml:space="preserve">Volume di produzione e grado di carico sotto osservazione</w:t>
      </w:r>
    </w:p>
    <w:p w14:paraId="7299A43F" w14:textId="77777777" w:rsidR="007D393A" w:rsidRPr="00E41F21" w:rsidRDefault="007D393A" w:rsidP="007D393A">
      <w:pPr>
        <w:pStyle w:val="Fotos"/>
        <w:jc w:val="both"/>
        <w:rPr>
          <w:b w:val="0"/>
        </w:rPr>
        <w:bidi w:val="0"/>
      </w:pPr>
      <w:r>
        <w:rPr>
          <w:lang w:val="it-it"/>
          <w:b w:val="0"/>
          <w:bCs w:val="0"/>
          <w:i w:val="0"/>
          <w:iCs w:val="0"/>
          <w:u w:val="none"/>
          <w:vertAlign w:val="baseline"/>
          <w:rtl w:val="0"/>
        </w:rPr>
        <w:t xml:space="preserve">Per i cantieri con un tonnellaggio obiettivo, questo può essere visualizzato con una barra di avanzamento. Gli utenti possono così vedere a colpo d’occhio quando il cantiere si avvicina all’obiettivo. “Quando il lavoro è completato all’80 percento è già possibile pianificare il progetto successivo e il trasporto nella successiva località, ad esempio. Questo riduce i tempi di inattività e i funzionamenti a vuoto”, spiega Jörg Schaudig. Chi conosce i dati dei propri impianti ha una base comune per controllare e migliorare la produzione.</w:t>
      </w:r>
    </w:p>
    <w:p w14:paraId="0B3EEBC4" w14:textId="77777777" w:rsidR="007D393A" w:rsidRPr="00E41F21" w:rsidRDefault="007D393A" w:rsidP="007D393A">
      <w:pPr>
        <w:pStyle w:val="Teaserhead"/>
        <w:bidi w:val="0"/>
      </w:pPr>
      <w:r>
        <w:rPr>
          <w:lang w:val="it-it"/>
          <w:b w:val="1"/>
          <w:bCs w:val="1"/>
          <w:i w:val="0"/>
          <w:iCs w:val="0"/>
          <w:u w:val="none"/>
          <w:vertAlign w:val="baseline"/>
          <w:rtl w:val="0"/>
        </w:rPr>
        <w:t xml:space="preserve">Utenti diversi traggono beneficio da WPT Crushing</w:t>
      </w:r>
    </w:p>
    <w:p w14:paraId="07E780D1" w14:textId="77777777" w:rsidR="007D393A" w:rsidRPr="00E41F21" w:rsidRDefault="007D393A" w:rsidP="007D393A">
      <w:pPr>
        <w:pStyle w:val="Fotos"/>
        <w:jc w:val="both"/>
        <w:rPr>
          <w:b w:val="0"/>
        </w:rPr>
        <w:bidi w:val="0"/>
      </w:pPr>
      <w:r>
        <w:rPr>
          <w:lang w:val="it-it"/>
          <w:b w:val="0"/>
          <w:bCs w:val="0"/>
          <w:i w:val="0"/>
          <w:iCs w:val="0"/>
          <w:u w:val="none"/>
          <w:vertAlign w:val="baseline"/>
          <w:rtl w:val="0"/>
        </w:rPr>
        <w:t xml:space="preserve">Volume di produzione, grado di carico, pianificazione del progetto: questi sono i parametri più importanti che si possono prendere in considerazione con WPT Crushing. Ma anche le aree in cui i benefici non sono così evidenti traggono beneficio dai dati: Ad esempio, si possono ottimizzare i lavori di manutenzione e assistenza. Se improvvisamente vengono misurati tonnellaggi inferiori, questo può indicare l’usura. La fornitura di parti di usura e i servizi si possono quindi pianificare in anticipo, prima che si verifichino tempi di inattività della produzione. Allo stesso modo, la durata operativa degli utensili di frantumazione installati può essere determinata e valutata sulla base dei tonnellaggi invece che esclusivamente sulle ore di funzionamento. I risultati aiutano a ottenere le parti di usura ottimali.</w:t>
      </w:r>
    </w:p>
    <w:p w14:paraId="574597C2" w14:textId="77777777" w:rsidR="007D393A" w:rsidRPr="00E41F21" w:rsidRDefault="007D393A" w:rsidP="007D393A">
      <w:pPr>
        <w:pStyle w:val="Fotos"/>
        <w:jc w:val="both"/>
        <w:rPr>
          <w:b w:val="0"/>
        </w:rPr>
        <w:bidi w:val="0"/>
      </w:pPr>
      <w:r>
        <w:rPr>
          <w:lang w:val="it-it"/>
          <w:b w:val="0"/>
          <w:bCs w:val="0"/>
          <w:i w:val="0"/>
          <w:iCs w:val="0"/>
          <w:u w:val="none"/>
          <w:vertAlign w:val="baseline"/>
          <w:rtl w:val="0"/>
        </w:rPr>
        <w:t xml:space="preserve">Altri casi d’uso: Il supervisore del turno riconosce che le prestazioni diminuiscono durante la giornata. Rivede il processo e scopre che il materiale di alimentazione è cambiato. Apportando regolazioni alle impostazioni della macchina, le prestazioni vengono stabilizzate mentre il turno è ancora in corso. </w:t>
      </w:r>
    </w:p>
    <w:p w14:paraId="23DBD268" w14:textId="77777777" w:rsidR="007D393A" w:rsidRPr="00E41F21" w:rsidRDefault="007D393A" w:rsidP="007D393A">
      <w:pPr>
        <w:pStyle w:val="Fotos"/>
        <w:jc w:val="both"/>
        <w:rPr>
          <w:b w:val="0"/>
        </w:rPr>
        <w:bidi w:val="0"/>
      </w:pPr>
      <w:r>
        <w:rPr>
          <w:lang w:val="it-it"/>
          <w:b w:val="0"/>
          <w:bCs w:val="0"/>
          <w:i w:val="0"/>
          <w:iCs w:val="0"/>
          <w:u w:val="none"/>
          <w:vertAlign w:val="baseline"/>
          <w:rtl w:val="0"/>
        </w:rPr>
        <w:t xml:space="preserve">Gli operatori possono anche utilizzare i dati per dimostrare la conformità agli obiettivi ambientali e di sostenibilità. Ad esempio, i dati sulla capacità produttiva e il consumo di gasolio possono essere utilizzati per dimostrare le emissioni di CO₂ per tonnellata.</w:t>
      </w:r>
    </w:p>
    <w:p w14:paraId="4323ACF5" w14:textId="77777777" w:rsidR="007D393A" w:rsidRPr="00E41F21" w:rsidRDefault="007D393A" w:rsidP="007D393A">
      <w:pPr>
        <w:pStyle w:val="Fotos"/>
        <w:jc w:val="both"/>
        <w:rPr>
          <w:b w:val="0"/>
        </w:rPr>
        <w:bidi w:val="0"/>
      </w:pPr>
      <w:r>
        <w:rPr>
          <w:lang w:val="it-it"/>
          <w:b w:val="0"/>
          <w:bCs w:val="0"/>
          <w:i w:val="0"/>
          <w:iCs w:val="0"/>
          <w:u w:val="none"/>
          <w:vertAlign w:val="baseline"/>
          <w:rtl w:val="0"/>
        </w:rPr>
        <w:t xml:space="preserve">I risultati di WPT Crushing possono fornire una base per le decisioni anche per investimenti futuri e nuove acquisizioni: dati sulle prestazioni a lungo termine, analisi costi-benefici – i dati dell’Operations Center mostrano l’efficienza di lavoro dei singoli impianti, quali impianti stanno andando bene e quali meglio degli altri.</w:t>
      </w:r>
    </w:p>
    <w:p w14:paraId="4AAF104A" w14:textId="77777777" w:rsidR="007D393A" w:rsidRPr="00E41F21" w:rsidRDefault="007D393A" w:rsidP="007D393A">
      <w:pPr>
        <w:pStyle w:val="Teaserhead"/>
        <w:bidi w:val="0"/>
      </w:pPr>
      <w:r>
        <w:rPr>
          <w:lang w:val="it-it"/>
          <w:b w:val="1"/>
          <w:bCs w:val="1"/>
          <w:i w:val="0"/>
          <w:iCs w:val="0"/>
          <w:u w:val="none"/>
          <w:vertAlign w:val="baseline"/>
          <w:rtl w:val="0"/>
        </w:rPr>
        <w:t xml:space="preserve">Combinazione forte: </w:t>
      </w:r>
      <w:r>
        <w:rPr>
          <w:lang w:val="it-it"/>
          <w:b w:val="1"/>
          <w:bCs w:val="1"/>
          <w:i w:val="0"/>
          <w:iCs w:val="0"/>
          <w:u w:val="none"/>
          <w:vertAlign w:val="baseline"/>
          <w:rtl w:val="0"/>
        </w:rPr>
        <w:t xml:space="preserve">WPT Crushing e John Deere Operations Center</w:t>
      </w:r>
      <w:r>
        <w:rPr>
          <w:lang w:val="it-it"/>
          <w:b w:val="1"/>
          <w:bCs w:val="1"/>
          <w:i w:val="0"/>
          <w:iCs w:val="0"/>
          <w:u w:val="none"/>
          <w:vertAlign w:val="superscript"/>
          <w:rtl w:val="0"/>
        </w:rPr>
        <w:t xml:space="preserve">TM</w:t>
      </w:r>
    </w:p>
    <w:p w14:paraId="3910C631" w14:textId="77777777" w:rsidR="007D393A" w:rsidRPr="00E41F21" w:rsidRDefault="007D393A" w:rsidP="007D393A">
      <w:pPr>
        <w:pStyle w:val="Fotos"/>
        <w:jc w:val="both"/>
        <w:rPr>
          <w:b w:val="0"/>
        </w:rPr>
        <w:bidi w:val="0"/>
      </w:pPr>
      <w:r>
        <w:rPr>
          <w:lang w:val="it-it"/>
          <w:b w:val="0"/>
          <w:bCs w:val="0"/>
          <w:i w:val="0"/>
          <w:iCs w:val="0"/>
          <w:u w:val="none"/>
          <w:vertAlign w:val="baseline"/>
          <w:rtl w:val="0"/>
        </w:rPr>
        <w:t xml:space="preserve">Le macchine dotate di WPT Crushing e John Deere Operations Center funzionano in modo ottimale in squadra. Le funzioni più importanti della piattaforma telematica digitale includono la pianificazione, il monitoraggio, la manutenzione e l’analisi di cantieri e macchine. I piani di manutenzione integrati e le raccomandazioni basate sui dati per l’azione consentono un’ottimizzazione completa di processi, macchine e servizi. La piattaforma è accessibile sia tramite web che tramite dispositivi mobili in qualsiasi momento e ovunque.</w:t>
      </w:r>
    </w:p>
    <w:p w14:paraId="53902170" w14:textId="77777777" w:rsidR="007D393A" w:rsidRPr="00E41F21" w:rsidRDefault="007D393A" w:rsidP="007D393A">
      <w:pPr>
        <w:pStyle w:val="Teaserhead"/>
        <w:bidi w:val="0"/>
      </w:pPr>
      <w:r>
        <w:rPr>
          <w:lang w:val="it-it"/>
          <w:b w:val="1"/>
          <w:bCs w:val="1"/>
          <w:i w:val="0"/>
          <w:iCs w:val="0"/>
          <w:u w:val="none"/>
          <w:vertAlign w:val="baseline"/>
          <w:rtl w:val="0"/>
        </w:rPr>
        <w:t xml:space="preserve">WPT Crushing – i vantaggi in sintesi </w:t>
      </w:r>
    </w:p>
    <w:p w14:paraId="5B5FA525" w14:textId="77777777" w:rsidR="007D393A" w:rsidRPr="00E41F21" w:rsidRDefault="007D393A" w:rsidP="007D393A">
      <w:pPr>
        <w:pStyle w:val="Fotos"/>
        <w:numPr>
          <w:ilvl w:val="0"/>
          <w:numId w:val="26"/>
        </w:numPr>
        <w:rPr>
          <w:b w:val="0"/>
        </w:rPr>
        <w:bidi w:val="0"/>
      </w:pPr>
      <w:r>
        <w:rPr>
          <w:lang w:val="it-it"/>
          <w:b w:val="0"/>
          <w:bCs w:val="0"/>
          <w:i w:val="0"/>
          <w:iCs w:val="0"/>
          <w:u w:val="none"/>
          <w:vertAlign w:val="baseline"/>
          <w:rtl w:val="0"/>
        </w:rPr>
        <w:t xml:space="preserve">Risparmio di tempo grazie alla raccolta centralizzata e automatizzata dei dati sulle prestazioni</w:t>
      </w:r>
    </w:p>
    <w:p w14:paraId="7F4F6603" w14:textId="77777777" w:rsidR="007D393A" w:rsidRPr="00E41F21" w:rsidRDefault="007D393A" w:rsidP="007D393A">
      <w:pPr>
        <w:pStyle w:val="Fotos"/>
        <w:numPr>
          <w:ilvl w:val="0"/>
          <w:numId w:val="26"/>
        </w:numPr>
        <w:rPr>
          <w:b w:val="0"/>
        </w:rPr>
        <w:bidi w:val="0"/>
      </w:pPr>
      <w:r>
        <w:rPr>
          <w:lang w:val="it-it"/>
          <w:b w:val="0"/>
          <w:bCs w:val="0"/>
          <w:i w:val="0"/>
          <w:iCs w:val="0"/>
          <w:u w:val="none"/>
          <w:vertAlign w:val="baseline"/>
          <w:rtl w:val="0"/>
        </w:rPr>
        <w:t xml:space="preserve">Rapporti sulla produzione disponibili in qualsiasi momento</w:t>
      </w:r>
    </w:p>
    <w:p w14:paraId="24097EAC" w14:textId="77777777" w:rsidR="007D393A" w:rsidRPr="00E41F21" w:rsidRDefault="007D393A" w:rsidP="007D393A">
      <w:pPr>
        <w:pStyle w:val="Fotos"/>
        <w:numPr>
          <w:ilvl w:val="0"/>
          <w:numId w:val="26"/>
        </w:numPr>
        <w:rPr>
          <w:b w:val="0"/>
        </w:rPr>
        <w:bidi w:val="0"/>
      </w:pPr>
      <w:r>
        <w:rPr>
          <w:lang w:val="it-it"/>
          <w:b w:val="0"/>
          <w:bCs w:val="0"/>
          <w:i w:val="0"/>
          <w:iCs w:val="0"/>
          <w:u w:val="none"/>
          <w:vertAlign w:val="baseline"/>
          <w:rtl w:val="0"/>
        </w:rPr>
        <w:t xml:space="preserve">Rilevamento precoce dei cali di produzione</w:t>
      </w:r>
    </w:p>
    <w:p w14:paraId="1B4D5072" w14:textId="77777777" w:rsidR="007D393A" w:rsidRPr="00E41F21" w:rsidRDefault="007D393A" w:rsidP="007D393A">
      <w:pPr>
        <w:pStyle w:val="Fotos"/>
        <w:numPr>
          <w:ilvl w:val="0"/>
          <w:numId w:val="26"/>
        </w:numPr>
        <w:rPr>
          <w:b w:val="0"/>
        </w:rPr>
        <w:bidi w:val="0"/>
      </w:pPr>
      <w:r>
        <w:rPr>
          <w:lang w:val="it-it"/>
          <w:b w:val="0"/>
          <w:bCs w:val="0"/>
          <w:i w:val="0"/>
          <w:iCs w:val="0"/>
          <w:u w:val="none"/>
          <w:vertAlign w:val="baseline"/>
          <w:rtl w:val="0"/>
        </w:rPr>
        <w:t xml:space="preserve">È possibile prendere decisioni basate sui dati</w:t>
      </w:r>
    </w:p>
    <w:p w14:paraId="0013F597" w14:textId="77777777" w:rsidR="007D393A" w:rsidRPr="00E41F21" w:rsidRDefault="007D393A" w:rsidP="007D393A">
      <w:pPr>
        <w:pStyle w:val="Fotos"/>
        <w:numPr>
          <w:ilvl w:val="0"/>
          <w:numId w:val="26"/>
        </w:numPr>
        <w:rPr>
          <w:b w:val="0"/>
        </w:rPr>
        <w:bidi w:val="0"/>
      </w:pPr>
      <w:r>
        <w:rPr>
          <w:lang w:val="it-it"/>
          <w:b w:val="0"/>
          <w:bCs w:val="0"/>
          <w:i w:val="0"/>
          <w:iCs w:val="0"/>
          <w:u w:val="none"/>
          <w:vertAlign w:val="baseline"/>
          <w:rtl w:val="0"/>
        </w:rPr>
        <w:t xml:space="preserve">La produzione viene ottimizzata</w:t>
      </w:r>
    </w:p>
    <w:p w14:paraId="18C162F9" w14:textId="77777777" w:rsidR="007D393A" w:rsidRPr="00E41F21" w:rsidRDefault="007D393A" w:rsidP="007D393A">
      <w:pPr>
        <w:pStyle w:val="Standardabsatz"/>
      </w:pPr>
    </w:p>
    <w:p w14:paraId="4DFE9804" w14:textId="77777777" w:rsidR="007D393A" w:rsidRPr="00E41F21" w:rsidRDefault="007D393A" w:rsidP="007D393A">
      <w:pPr>
        <w:rPr>
          <w:b/>
          <w:bCs/>
          <w:sz w:val="22"/>
          <w:szCs w:val="22"/>
        </w:rPr>
        <w:bidi w:val="0"/>
      </w:pPr>
      <w:r>
        <w:rPr>
          <w:sz w:val="22"/>
          <w:szCs w:val="22"/>
          <w:lang w:val="it-it"/>
          <w:b w:val="1"/>
          <w:bCs w:val="1"/>
          <w:i w:val="0"/>
          <w:iCs w:val="0"/>
          <w:u w:val="none"/>
          <w:vertAlign w:val="baseline"/>
          <w:rtl w:val="0"/>
        </w:rPr>
        <w:t xml:space="preserve">Foto:</w:t>
      </w:r>
    </w:p>
    <w:p w14:paraId="3B1AA35E" w14:textId="77777777" w:rsidR="007D393A" w:rsidRPr="00E41F21" w:rsidRDefault="007D393A" w:rsidP="007D393A">
      <w:pPr>
        <w:rPr>
          <w:rFonts w:eastAsiaTheme="minorHAnsi" w:cstheme="minorBidi"/>
          <w:b/>
          <w:sz w:val="22"/>
          <w:szCs w:val="24"/>
        </w:rPr>
      </w:pPr>
    </w:p>
    <w:p w14:paraId="07FA3394" w14:textId="77777777" w:rsidR="007D393A" w:rsidRPr="00B65B3C" w:rsidRDefault="007D393A" w:rsidP="007D393A">
      <w:pPr>
        <w:pStyle w:val="BUbold"/>
        <w:rPr>
          <w:b w:val="0"/>
          <w:color w:val="000000"/>
          <w:szCs w:val="20"/>
        </w:rPr>
        <w:bidi w:val="0"/>
      </w:pPr>
      <w:r>
        <w:rPr>
          <w:noProof/>
          <w:sz w:val="24"/>
          <w:lang w:val="it-it"/>
          <w:b w:val="0"/>
          <w:bCs w:val="0"/>
          <w:i w:val="0"/>
          <w:iCs w:val="0"/>
          <w:u w:val="none"/>
          <w:vertAlign w:val="baseline"/>
          <w:rtl w:val="0"/>
        </w:rPr>
        <w:drawing>
          <wp:inline distT="0" distB="0" distL="0" distR="0" wp14:anchorId="5D30A7E7" wp14:editId="2EA63BB6">
            <wp:extent cx="2880000" cy="1621192"/>
            <wp:effectExtent l="0" t="0" r="0" b="0"/>
            <wp:docPr id="1851588633" name="Grafik 1" descr="Un’immagine contenente testo, composizione digitale, screenshot, gioco PC. I contenuti generati dall’IA possono includere erro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588633" name="Grafik 1" descr="Ein Bild, das Text, Digitales Compositing, Screenshot, PC-Spiel enthält.&#10;&#10;KI-generierte Inhalte können fehlerhaft sei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80000" cy="1621192"/>
                    </a:xfrm>
                    <a:prstGeom prst="rect">
                      <a:avLst/>
                    </a:prstGeom>
                    <a:noFill/>
                    <a:ln>
                      <a:noFill/>
                    </a:ln>
                  </pic:spPr>
                </pic:pic>
              </a:graphicData>
            </a:graphic>
          </wp:inline>
        </w:drawing>
      </w:r>
      <w:r>
        <w:rPr>
          <w:lang w:val="it-it"/>
          <w:b w:val="0"/>
          <w:bCs w:val="0"/>
          <w:i w:val="0"/>
          <w:iCs w:val="0"/>
          <w:u w:val="none"/>
          <w:vertAlign w:val="baseline"/>
          <w:rtl w:val="0"/>
        </w:rPr>
        <w:br w:type="textWrapping"/>
      </w:r>
      <w:r>
        <w:rPr>
          <w:lang w:val="it-it"/>
          <w:b w:val="1"/>
          <w:bCs w:val="1"/>
          <w:i w:val="0"/>
          <w:iCs w:val="0"/>
          <w:u w:val="none"/>
          <w:vertAlign w:val="baseline"/>
          <w:rtl w:val="0"/>
        </w:rPr>
        <w:t xml:space="preserve">K_pic_WPT Crushing Visual</w:t>
      </w:r>
      <w:r>
        <w:rPr>
          <w:lang w:val="it-it"/>
          <w:b w:val="0"/>
          <w:bCs w:val="0"/>
          <w:i w:val="0"/>
          <w:iCs w:val="0"/>
          <w:u w:val="none"/>
          <w:vertAlign w:val="baseline"/>
          <w:rtl w:val="0"/>
        </w:rPr>
        <w:br w:type="textWrapping"/>
      </w:r>
      <w:r>
        <w:rPr>
          <w:color w:val="000000"/>
          <w:szCs w:val="20"/>
          <w:lang w:val="it-it"/>
          <w:b w:val="0"/>
          <w:bCs w:val="0"/>
          <w:i w:val="0"/>
          <w:iCs w:val="0"/>
          <w:u w:val="none"/>
          <w:vertAlign w:val="baseline"/>
          <w:rtl w:val="0"/>
        </w:rPr>
        <w:t xml:space="preserve">Digitalizzazione del cantiere nel trattamento dei materiali con Kleemann e WPT Crushing.</w:t>
      </w:r>
      <w:r>
        <w:rPr>
          <w:color w:val="000000"/>
          <w:szCs w:val="20"/>
          <w:lang w:val="it-it"/>
          <w:b w:val="0"/>
          <w:bCs w:val="0"/>
          <w:i w:val="0"/>
          <w:iCs w:val="0"/>
          <w:u w:val="none"/>
          <w:vertAlign w:val="baseline"/>
          <w:rtl w:val="0"/>
        </w:rPr>
        <w:t xml:space="preserve"> </w:t>
      </w:r>
    </w:p>
    <w:p w14:paraId="249973DB" w14:textId="77777777" w:rsidR="007D393A" w:rsidRPr="00B65B3C" w:rsidRDefault="007D393A" w:rsidP="007D393A">
      <w:pPr>
        <w:pStyle w:val="BUnormal"/>
      </w:pPr>
    </w:p>
    <w:p w14:paraId="2DFE7027" w14:textId="77777777" w:rsidR="007D393A" w:rsidRPr="00B65B3C" w:rsidRDefault="007D393A" w:rsidP="007D393A">
      <w:pPr>
        <w:pStyle w:val="BUbold"/>
        <w:bidi w:val="0"/>
      </w:pPr>
      <w:r>
        <w:rPr>
          <w:noProof/>
          <w:sz w:val="24"/>
          <w:lang w:val="it-it"/>
          <w:b w:val="0"/>
          <w:bCs w:val="0"/>
          <w:i w:val="0"/>
          <w:iCs w:val="0"/>
          <w:u w:val="none"/>
          <w:vertAlign w:val="baseline"/>
          <w:rtl w:val="0"/>
        </w:rPr>
        <w:drawing>
          <wp:inline distT="0" distB="0" distL="0" distR="0" wp14:anchorId="3A4D7315" wp14:editId="4844CEC9">
            <wp:extent cx="2880000" cy="2061223"/>
            <wp:effectExtent l="0" t="0" r="0" b="0"/>
            <wp:docPr id="1731635520" name="Grafik 2" descr="Un’immagine contenente testo, carta, screenshot, software. I contenuti generati dall’IA possono includere erro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635520" name="Grafik 2" descr="Ein Bild, das Text, Karte, Screenshot, Software enthält.&#10;&#10;KI-generierte Inhalte können fehlerhaft sein."/>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80000" cy="2061223"/>
                    </a:xfrm>
                    <a:prstGeom prst="rect">
                      <a:avLst/>
                    </a:prstGeom>
                    <a:noFill/>
                    <a:ln>
                      <a:noFill/>
                    </a:ln>
                  </pic:spPr>
                </pic:pic>
              </a:graphicData>
            </a:graphic>
          </wp:inline>
        </w:drawing>
      </w:r>
      <w:r>
        <w:rPr>
          <w:lang w:val="it-it"/>
          <w:b w:val="0"/>
          <w:bCs w:val="0"/>
          <w:i w:val="0"/>
          <w:iCs w:val="0"/>
          <w:u w:val="none"/>
          <w:vertAlign w:val="baseline"/>
          <w:rtl w:val="0"/>
        </w:rPr>
        <w:br w:type="textWrapping"/>
      </w:r>
      <w:r>
        <w:rPr>
          <w:lang w:val="it-it"/>
          <w:b w:val="1"/>
          <w:bCs w:val="1"/>
          <w:i w:val="0"/>
          <w:iCs w:val="0"/>
          <w:u w:val="none"/>
          <w:vertAlign w:val="baseline"/>
          <w:rtl w:val="0"/>
        </w:rPr>
        <w:t xml:space="preserve">K_pic_ Overview Performance Data</w:t>
      </w:r>
    </w:p>
    <w:p w14:paraId="1521489C" w14:textId="77777777" w:rsidR="007D393A" w:rsidRPr="00B65B3C" w:rsidRDefault="007D393A" w:rsidP="007D393A">
      <w:pPr>
        <w:pStyle w:val="BUnormal"/>
        <w:bidi w:val="0"/>
      </w:pPr>
      <w:r>
        <w:rPr>
          <w:lang w:val="it-it"/>
          <w:b w:val="0"/>
          <w:bCs w:val="0"/>
          <w:i w:val="0"/>
          <w:iCs w:val="0"/>
          <w:u w:val="none"/>
          <w:vertAlign w:val="baseline"/>
          <w:rtl w:val="0"/>
        </w:rPr>
        <w:t xml:space="preserve">Panoramica ottimale dei dati sulle prestazioni delle varie pesatrici a nastro e dei progressi del cantiere grazie a WPT Crushing. </w:t>
      </w:r>
    </w:p>
    <w:p w14:paraId="38EB443E" w14:textId="77777777" w:rsidR="007D393A" w:rsidRPr="00B65B3C" w:rsidRDefault="007D393A" w:rsidP="007D393A">
      <w:pPr>
        <w:pStyle w:val="BUnormal"/>
      </w:pPr>
    </w:p>
    <w:p w14:paraId="34A5C183" w14:textId="77777777" w:rsidR="007D393A" w:rsidRPr="00B65B3C" w:rsidRDefault="007D393A" w:rsidP="007D393A">
      <w:pPr>
        <w:pStyle w:val="BUnormal"/>
      </w:pPr>
    </w:p>
    <w:p w14:paraId="55FD80E6" w14:textId="77777777" w:rsidR="007D393A" w:rsidRPr="00E41F21" w:rsidRDefault="007D393A" w:rsidP="007D393A">
      <w:pPr>
        <w:pStyle w:val="Note"/>
        <w:rPr/>
        <w:bidi w:val="0"/>
      </w:pPr>
      <w:r>
        <w:rPr>
          <w:lang w:val="it-it"/>
          <w:b w:val="0"/>
          <w:bCs w:val="0"/>
          <w:i w:val="1"/>
          <w:iCs w:val="1"/>
          <w:u w:val="none"/>
          <w:vertAlign w:val="baseline"/>
          <w:rtl w:val="0"/>
        </w:rPr>
        <w:t xml:space="preserve">Avvertenza: </w:t>
      </w:r>
      <w:r>
        <w:rPr>
          <w:lang w:val="it-it"/>
          <w:b w:val="0"/>
          <w:bCs w:val="0"/>
          <w:i w:val="1"/>
          <w:iCs w:val="1"/>
          <w:u w:val="none"/>
          <w:vertAlign w:val="baseline"/>
          <w:rtl w:val="0"/>
        </w:rPr>
        <w:t xml:space="preserve">queste foto sono a puro scopo esemplificativo. </w:t>
      </w:r>
      <w:r>
        <w:rPr>
          <w:lang w:val="it-it"/>
          <w:b w:val="0"/>
          <w:bCs w:val="0"/>
          <w:i w:val="1"/>
          <w:iCs w:val="1"/>
          <w:u w:val="none"/>
          <w:vertAlign w:val="baseline"/>
          <w:rtl w:val="0"/>
        </w:rPr>
        <w:t xml:space="preserve">Per la stampa nelle varie pubblicazioni si prega di utilizzare le foto da 300 dpi di risoluzione disponibili per il download.</w:t>
      </w:r>
    </w:p>
    <w:p w14:paraId="7946EE3D" w14:textId="77777777" w:rsidR="007D393A" w:rsidRPr="00E41F21" w:rsidRDefault="007D393A" w:rsidP="007D393A">
      <w:pPr>
        <w:pStyle w:val="Absatzberschrift"/>
        <w:rPr>
          <w:iCs/>
        </w:rPr>
        <w:bidi w:val="0"/>
      </w:pPr>
      <w:r>
        <w:rPr>
          <w:lang w:val="it-it"/>
          <w:b w:val="1"/>
          <w:bCs w:val="1"/>
          <w:i w:val="0"/>
          <w:iCs w:val="0"/>
          <w:u w:val="none"/>
          <w:vertAlign w:val="baseline"/>
          <w:rtl w:val="0"/>
        </w:rPr>
        <w:t xml:space="preserve">È possibile reperire ulteriori informazioni presso:</w:t>
      </w:r>
    </w:p>
    <w:p w14:paraId="312E8F93" w14:textId="77777777" w:rsidR="007D393A" w:rsidRPr="00E41F21" w:rsidRDefault="007D393A" w:rsidP="007D393A">
      <w:pPr>
        <w:pStyle w:val="Absatzberschrift"/>
      </w:pPr>
    </w:p>
    <w:p w14:paraId="6246C627" w14:textId="77777777" w:rsidR="007D393A" w:rsidRPr="00E41F21" w:rsidRDefault="007D393A" w:rsidP="007D393A">
      <w:pPr>
        <w:pStyle w:val="Absatzberschrift"/>
        <w:rPr>
          <w:b w:val="0"/>
          <w:bCs/>
          <w:szCs w:val="22"/>
        </w:rPr>
        <w:bidi w:val="0"/>
      </w:pPr>
      <w:r>
        <w:rPr>
          <w:lang w:val="it-it"/>
          <w:b w:val="0"/>
          <w:bCs w:val="0"/>
          <w:i w:val="0"/>
          <w:iCs w:val="0"/>
          <w:u w:val="none"/>
          <w:vertAlign w:val="baseline"/>
          <w:rtl w:val="0"/>
        </w:rPr>
        <w:t xml:space="preserve">WIRTGEN GROUP</w:t>
      </w:r>
    </w:p>
    <w:p w14:paraId="502CB882" w14:textId="77777777" w:rsidR="007D393A" w:rsidRPr="00E41F21" w:rsidRDefault="007D393A" w:rsidP="007D393A">
      <w:pPr>
        <w:pStyle w:val="Fuzeile1"/>
        <w:bidi w:val="0"/>
      </w:pPr>
      <w:r>
        <w:rPr>
          <w:lang w:val="it-it"/>
          <w:b w:val="0"/>
          <w:bCs w:val="0"/>
          <w:i w:val="0"/>
          <w:iCs w:val="0"/>
          <w:u w:val="none"/>
          <w:vertAlign w:val="baseline"/>
          <w:rtl w:val="0"/>
        </w:rPr>
        <w:t xml:space="preserve">Public Relations</w:t>
      </w:r>
    </w:p>
    <w:p w14:paraId="5EAF341B" w14:textId="77777777" w:rsidR="007D393A" w:rsidRPr="00E41F21" w:rsidRDefault="007D393A" w:rsidP="007D393A">
      <w:pPr>
        <w:pStyle w:val="Fuzeile1"/>
        <w:bidi w:val="0"/>
      </w:pPr>
      <w:r>
        <w:rPr>
          <w:lang w:val="it-it"/>
          <w:b w:val="0"/>
          <w:bCs w:val="0"/>
          <w:i w:val="0"/>
          <w:iCs w:val="0"/>
          <w:u w:val="none"/>
          <w:vertAlign w:val="baseline"/>
          <w:rtl w:val="0"/>
        </w:rPr>
        <w:t xml:space="preserve">Reinhard-Wirtgen-Straße 2</w:t>
      </w:r>
    </w:p>
    <w:p w14:paraId="026EEAB2" w14:textId="77777777" w:rsidR="007D393A" w:rsidRPr="00E41F21" w:rsidRDefault="007D393A" w:rsidP="007D393A">
      <w:pPr>
        <w:pStyle w:val="Fuzeile1"/>
        <w:bidi w:val="0"/>
      </w:pPr>
      <w:r>
        <w:rPr>
          <w:lang w:val="it-it"/>
          <w:b w:val="0"/>
          <w:bCs w:val="0"/>
          <w:i w:val="0"/>
          <w:iCs w:val="0"/>
          <w:u w:val="none"/>
          <w:vertAlign w:val="baseline"/>
          <w:rtl w:val="0"/>
        </w:rPr>
        <w:t xml:space="preserve">53578 Windhagen</w:t>
      </w:r>
    </w:p>
    <w:p w14:paraId="742E5DF1" w14:textId="77777777" w:rsidR="007D393A" w:rsidRPr="00E41F21" w:rsidRDefault="007D393A" w:rsidP="007D393A">
      <w:pPr>
        <w:pStyle w:val="Fuzeile1"/>
        <w:bidi w:val="0"/>
      </w:pPr>
      <w:r>
        <w:rPr>
          <w:lang w:val="it-it"/>
          <w:b w:val="0"/>
          <w:bCs w:val="0"/>
          <w:i w:val="0"/>
          <w:iCs w:val="0"/>
          <w:u w:val="none"/>
          <w:vertAlign w:val="baseline"/>
          <w:rtl w:val="0"/>
        </w:rPr>
        <w:t xml:space="preserve">Germania</w:t>
      </w:r>
    </w:p>
    <w:p w14:paraId="31D6D7FF" w14:textId="77777777" w:rsidR="007D393A" w:rsidRPr="00E41F21" w:rsidRDefault="007D393A" w:rsidP="007D393A">
      <w:pPr>
        <w:pStyle w:val="Fuzeile1"/>
      </w:pPr>
    </w:p>
    <w:p w14:paraId="1A291C58" w14:textId="77777777" w:rsidR="007D393A" w:rsidRPr="00E41F21" w:rsidRDefault="007D393A" w:rsidP="007D393A">
      <w:pPr>
        <w:pStyle w:val="Fuzeile1"/>
        <w:rPr>
          <w:rFonts w:ascii="Times New Roman" w:hAnsi="Times New Roman" w:cs="Times New Roman"/>
        </w:rPr>
        <w:bidi w:val="0"/>
      </w:pPr>
      <w:r>
        <w:rPr>
          <w:lang w:val="it-it"/>
          <w:b w:val="0"/>
          <w:bCs w:val="0"/>
          <w:i w:val="0"/>
          <w:iCs w:val="0"/>
          <w:u w:val="none"/>
          <w:vertAlign w:val="baseline"/>
          <w:rtl w:val="0"/>
        </w:rPr>
        <w:t xml:space="preserve">Telefono:</w:t>
      </w:r>
      <w:r>
        <w:rPr>
          <w:lang w:val="it-it"/>
          <w:b w:val="0"/>
          <w:bCs w:val="0"/>
          <w:i w:val="0"/>
          <w:iCs w:val="0"/>
          <w:u w:val="none"/>
          <w:vertAlign w:val="baseline"/>
          <w:rtl w:val="0"/>
        </w:rPr>
        <w:tab/>
      </w:r>
      <w:r>
        <w:rPr>
          <w:lang w:val="it-it"/>
          <w:b w:val="0"/>
          <w:bCs w:val="0"/>
          <w:i w:val="0"/>
          <w:iCs w:val="0"/>
          <w:u w:val="none"/>
          <w:vertAlign w:val="baseline"/>
          <w:rtl w:val="0"/>
        </w:rPr>
        <w:t xml:space="preserve">+49 (0) 2645 131 – 1966</w:t>
      </w:r>
    </w:p>
    <w:p w14:paraId="3631131E" w14:textId="77777777" w:rsidR="007D393A" w:rsidRPr="00E41F21" w:rsidRDefault="007D393A" w:rsidP="007D393A">
      <w:pPr>
        <w:pStyle w:val="Fuzeile1"/>
        <w:bidi w:val="0"/>
      </w:pPr>
      <w:r>
        <w:rPr>
          <w:lang w:val="it-it"/>
          <w:b w:val="0"/>
          <w:bCs w:val="0"/>
          <w:i w:val="0"/>
          <w:iCs w:val="0"/>
          <w:u w:val="none"/>
          <w:vertAlign w:val="baseline"/>
          <w:rtl w:val="0"/>
        </w:rPr>
        <w:t xml:space="preserve">Telefax:</w:t>
      </w:r>
      <w:r>
        <w:rPr>
          <w:lang w:val="it-it"/>
          <w:b w:val="0"/>
          <w:bCs w:val="0"/>
          <w:i w:val="0"/>
          <w:iCs w:val="0"/>
          <w:u w:val="none"/>
          <w:vertAlign w:val="baseline"/>
          <w:rtl w:val="0"/>
        </w:rPr>
        <w:tab/>
      </w:r>
      <w:r>
        <w:rPr>
          <w:lang w:val="it-it"/>
          <w:b w:val="0"/>
          <w:bCs w:val="0"/>
          <w:i w:val="0"/>
          <w:iCs w:val="0"/>
          <w:u w:val="none"/>
          <w:vertAlign w:val="baseline"/>
          <w:rtl w:val="0"/>
        </w:rPr>
        <w:t xml:space="preserve">+49 (0) 2645 131 – 499</w:t>
      </w:r>
    </w:p>
    <w:p w14:paraId="13B733C1" w14:textId="77777777" w:rsidR="007D393A" w:rsidRPr="00E41F21" w:rsidRDefault="007D393A" w:rsidP="007D393A">
      <w:pPr>
        <w:pStyle w:val="Fuzeile1"/>
        <w:bidi w:val="0"/>
      </w:pPr>
      <w:r>
        <w:rPr>
          <w:lang w:val="it-it"/>
          <w:b w:val="0"/>
          <w:bCs w:val="0"/>
          <w:i w:val="0"/>
          <w:iCs w:val="0"/>
          <w:u w:val="none"/>
          <w:vertAlign w:val="baseline"/>
          <w:rtl w:val="0"/>
        </w:rPr>
        <w:t xml:space="preserve">E-mail:</w:t>
      </w:r>
      <w:r>
        <w:rPr>
          <w:lang w:val="it-it"/>
          <w:b w:val="0"/>
          <w:bCs w:val="0"/>
          <w:i w:val="0"/>
          <w:iCs w:val="0"/>
          <w:u w:val="none"/>
          <w:vertAlign w:val="baseline"/>
          <w:rtl w:val="0"/>
        </w:rPr>
        <w:tab/>
      </w:r>
      <w:hyperlink r:id="rId10" w:history="1">
        <w:r>
          <w:rPr>
            <w:rStyle w:val="Hyperlink"/>
            <w:lang w:val="it-it"/>
            <w:b w:val="0"/>
            <w:bCs w:val="0"/>
            <w:i w:val="0"/>
            <w:iCs w:val="0"/>
            <w:u w:val="single"/>
            <w:vertAlign w:val="baseline"/>
            <w:rtl w:val="0"/>
          </w:rPr>
          <w:t xml:space="preserve">PR@wirtgen-group.com</w:t>
        </w:r>
      </w:hyperlink>
    </w:p>
    <w:p w14:paraId="76491C05" w14:textId="77777777" w:rsidR="007D393A" w:rsidRPr="00E41F21" w:rsidRDefault="007D393A" w:rsidP="007D393A">
      <w:pPr>
        <w:pStyle w:val="Fuzeile1"/>
        <w:rPr>
          <w:vanish/>
        </w:rPr>
      </w:pPr>
    </w:p>
    <w:p w14:paraId="6DC4F2C3" w14:textId="77777777" w:rsidR="007D393A" w:rsidRPr="00E41F21" w:rsidRDefault="007D393A" w:rsidP="007D393A">
      <w:pPr>
        <w:pStyle w:val="Fuzeile1"/>
        <w:bidi w:val="0"/>
      </w:pPr>
      <w:hyperlink r:id="rId11" w:history="1">
        <w:r>
          <w:rPr>
            <w:rStyle w:val="Hyperlink"/>
            <w:lang w:val="it-it"/>
            <w:b w:val="0"/>
            <w:bCs w:val="0"/>
            <w:i w:val="0"/>
            <w:iCs w:val="0"/>
            <w:u w:val="single"/>
            <w:vertAlign w:val="baseline"/>
            <w:rtl w:val="0"/>
          </w:rPr>
          <w:t xml:space="preserve">www.wirtgen-group.com</w:t>
        </w:r>
      </w:hyperlink>
    </w:p>
    <w:p w14:paraId="37A201ED" w14:textId="77777777" w:rsidR="007D393A" w:rsidRPr="00114A31" w:rsidRDefault="007D393A" w:rsidP="007D393A">
      <w:pPr>
        <w:pStyle w:val="Fuzeile1"/>
        <w:rPr/>
      </w:pPr>
    </w:p>
    <w:p w14:paraId="669A80D7" w14:textId="77777777" w:rsidR="00B5101D" w:rsidRPr="007D393A" w:rsidRDefault="00B5101D" w:rsidP="007D393A"/>
    <w:sectPr w:rsidR="00B5101D" w:rsidRPr="007D393A" w:rsidSect="005A2646">
      <w:headerReference w:type="even" r:id="rId12"/>
      <w:headerReference w:type="default" r:id="rId13"/>
      <w:footerReference w:type="default" r:id="rId14"/>
      <w:headerReference w:type="first" r:id="rId15"/>
      <w:footerReference w:type="first" r:id="rId16"/>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B1D18F" w14:textId="77777777" w:rsidR="005A2646" w:rsidRDefault="005A2646" w:rsidP="00E55534">
      <w:pPr>
        <w:bidi w:val="0"/>
      </w:pPr>
      <w:r>
        <w:separator/>
      </w:r>
    </w:p>
  </w:endnote>
  <w:endnote w:type="continuationSeparator" w:id="0">
    <w:p w14:paraId="7B077B92" w14:textId="77777777" w:rsidR="005A2646" w:rsidRDefault="005A2646" w:rsidP="00E55534">
      <w:pPr>
        <w:bidi w:val="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bidi w:val="0"/>
          </w:pPr>
          <w:r>
            <w:rPr>
              <w:rStyle w:val="MittleresRaster11"/>
              <w:szCs w:val="20"/>
              <w:lang w:val="it-it"/>
              <w:b w:val="0"/>
              <w:bCs w:val="0"/>
              <w:i w:val="0"/>
              <w:iCs w:val="0"/>
              <w:u w:val="none"/>
              <w:vertAlign w:val="baseline"/>
              <w:rtl w:val="0"/>
            </w:rPr>
            <w:t xml:space="preserve">     </w:t>
          </w:r>
        </w:p>
      </w:tc>
      <w:tc>
        <w:tcPr>
          <w:tcW w:w="1160" w:type="dxa"/>
          <w:shd w:val="clear" w:color="auto" w:fill="auto"/>
        </w:tcPr>
        <w:p w14:paraId="120FF8E6" w14:textId="77777777" w:rsidR="00533132" w:rsidRPr="00723F4F" w:rsidRDefault="00533132" w:rsidP="00723F4F">
          <w:pPr>
            <w:pStyle w:val="Seitenzahlen"/>
            <w:rPr>
              <w:szCs w:val="20"/>
            </w:rPr>
            <w:bidi w:val="0"/>
          </w:pPr>
          <w:r>
            <w:rPr>
              <w:szCs w:val="20"/>
              <w:lang w:val="it-it"/>
              <w:b w:val="0"/>
              <w:bCs w:val="0"/>
              <w:i w:val="0"/>
              <w:iCs w:val="0"/>
              <w:u w:val="none"/>
              <w:vertAlign w:val="baseline"/>
              <w:rtl w:val="0"/>
            </w:rPr>
            <w:fldChar w:fldCharType="begin"/>
          </w:r>
          <w:r>
            <w:rPr>
              <w:szCs w:val="20"/>
              <w:lang w:val="it-it"/>
              <w:b w:val="0"/>
              <w:bCs w:val="0"/>
              <w:i w:val="0"/>
              <w:iCs w:val="0"/>
              <w:u w:val="none"/>
              <w:vertAlign w:val="baseline"/>
              <w:rtl w:val="0"/>
            </w:rPr>
            <w:instrText xml:space="preserve"> </w:instrText>
          </w:r>
          <w:r>
            <w:rPr>
              <w:szCs w:val="20"/>
              <w:lang w:val="it-it"/>
              <w:b w:val="0"/>
              <w:bCs w:val="0"/>
              <w:i w:val="0"/>
              <w:iCs w:val="0"/>
              <w:u w:val="none"/>
              <w:vertAlign w:val="baseline"/>
              <w:rtl w:val="0"/>
            </w:rPr>
            <w:instrText>PAGE</w:instrText>
          </w:r>
          <w:r>
            <w:rPr>
              <w:szCs w:val="20"/>
              <w:lang w:val="it-it"/>
              <w:b w:val="0"/>
              <w:bCs w:val="0"/>
              <w:i w:val="0"/>
              <w:iCs w:val="0"/>
              <w:u w:val="none"/>
              <w:vertAlign w:val="baseline"/>
              <w:rtl w:val="0"/>
            </w:rPr>
            <w:instrText xml:space="preserve"> \# "</w:instrText>
          </w:r>
          <w:r>
            <w:rPr>
              <w:szCs w:val="20"/>
              <w:lang w:val="it-it"/>
              <w:b w:val="0"/>
              <w:bCs w:val="0"/>
              <w:i w:val="0"/>
              <w:iCs w:val="0"/>
              <w:u w:val="none"/>
              <w:vertAlign w:val="baseline"/>
              <w:rtl w:val="0"/>
            </w:rPr>
            <w:instrText>00</w:instrText>
          </w:r>
          <w:r>
            <w:rPr>
              <w:szCs w:val="20"/>
              <w:lang w:val="it-it"/>
              <w:b w:val="0"/>
              <w:bCs w:val="0"/>
              <w:i w:val="0"/>
              <w:iCs w:val="0"/>
              <w:u w:val="none"/>
              <w:vertAlign w:val="baseline"/>
              <w:rtl w:val="0"/>
            </w:rPr>
            <w:instrText>"</w:instrText>
          </w:r>
          <w:r>
            <w:rPr>
              <w:szCs w:val="20"/>
              <w:lang w:val="it-it"/>
              <w:b w:val="0"/>
              <w:bCs w:val="0"/>
              <w:i w:val="0"/>
              <w:iCs w:val="0"/>
              <w:u w:val="none"/>
              <w:vertAlign w:val="baseline"/>
              <w:rtl w:val="0"/>
            </w:rPr>
            <w:fldChar w:fldCharType="separate"/>
          </w:r>
          <w:r>
            <w:rPr>
              <w:noProof/>
              <w:szCs w:val="20"/>
              <w:lang w:val="it-it"/>
              <w:b w:val="0"/>
              <w:bCs w:val="0"/>
              <w:i w:val="0"/>
              <w:iCs w:val="0"/>
              <w:u w:val="none"/>
              <w:vertAlign w:val="baseline"/>
              <w:rtl w:val="0"/>
            </w:rPr>
            <w:t xml:space="preserve">02</w:t>
          </w:r>
          <w:r>
            <w:rPr>
              <w:szCs w:val="20"/>
              <w:lang w:val="it-it"/>
              <w:b w:val="0"/>
              <w:bCs w:val="0"/>
              <w:i w:val="0"/>
              <w:iCs w:val="0"/>
              <w:u w:val="none"/>
              <w:vertAlign w:val="baseline"/>
              <w:rtl w:val="0"/>
            </w:rPr>
            <w:fldChar w:fldCharType="end"/>
          </w:r>
        </w:p>
      </w:tc>
    </w:tr>
  </w:tbl>
  <w:p w14:paraId="7CF7D2C8" w14:textId="77777777" w:rsidR="00533132" w:rsidRDefault="00BD5391">
    <w:pPr>
      <w:pStyle w:val="Fuzeile"/>
      <w:bidi w:val="0"/>
    </w:pPr>
    <w:r>
      <w:rPr>
        <w:noProof/>
        <w:lang w:val="it-it"/>
        <w:b w:val="0"/>
        <w:bCs w:val="0"/>
        <w:i w:val="0"/>
        <w:iCs w:val="0"/>
        <w:u w:val="none"/>
        <w:vertAlign w:val="baseline"/>
        <w:rtl w:val="0"/>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bidi w:val="0"/>
          </w:pPr>
          <w:r>
            <w:rPr>
              <w:rStyle w:val="Hervorhebung"/>
              <w:szCs w:val="20"/>
              <w:lang w:val="it-it"/>
              <w:b w:val="0"/>
              <w:bCs w:val="0"/>
              <w:i w:val="0"/>
              <w:iCs w:val="0"/>
              <w:u w:val="none"/>
              <w:vertAlign w:val="baseline"/>
              <w:rtl w:val="0"/>
            </w:rPr>
            <w:t xml:space="preserve">WIRTGEN</w:t>
          </w:r>
          <w:r>
            <w:rPr>
              <w:rStyle w:val="Hervorhebung"/>
              <w:szCs w:val="20"/>
              <w:lang w:val="it-it"/>
              <w:b w:val="1"/>
              <w:bCs w:val="1"/>
              <w:i w:val="0"/>
              <w:iCs w:val="0"/>
              <w:u w:val="none"/>
              <w:vertAlign w:val="baseline"/>
              <w:rtl w:val="0"/>
            </w:rPr>
            <w:t xml:space="preserve"> GmbH</w:t>
          </w:r>
          <w:r>
            <w:rPr>
              <w:szCs w:val="20"/>
              <w:lang w:val="it-it"/>
              <w:b w:val="0"/>
              <w:bCs w:val="0"/>
              <w:i w:val="0"/>
              <w:iCs w:val="0"/>
              <w:u w:val="none"/>
              <w:vertAlign w:val="baseline"/>
              <w:rtl w:val="0"/>
            </w:rPr>
            <w:t xml:space="preserve"> · Reinhard-Wirtgen-Str. 2 · D-53578 Windhagen · T: +49 26 45 / 131 0</w:t>
          </w:r>
        </w:p>
      </w:tc>
    </w:tr>
  </w:tbl>
  <w:p w14:paraId="732BEB33" w14:textId="77777777" w:rsidR="00533132" w:rsidRDefault="00BD5391">
    <w:pPr>
      <w:pStyle w:val="Fuzeile"/>
      <w:bidi w:val="0"/>
    </w:pPr>
    <w:r>
      <w:rPr>
        <w:noProof/>
        <w:lang w:val="it-it"/>
        <w:b w:val="0"/>
        <w:bCs w:val="0"/>
        <w:i w:val="0"/>
        <w:iCs w:val="0"/>
        <w:u w:val="none"/>
        <w:vertAlign w:val="baseline"/>
        <w:rtl w:val="0"/>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04E1A9" w14:textId="77777777" w:rsidR="005A2646" w:rsidRDefault="005A2646" w:rsidP="00E55534">
      <w:pPr>
        <w:bidi w:val="0"/>
      </w:pPr>
      <w:r>
        <w:separator/>
      </w:r>
    </w:p>
  </w:footnote>
  <w:footnote w:type="continuationSeparator" w:id="0">
    <w:p w14:paraId="5E9E2088" w14:textId="77777777" w:rsidR="005A2646" w:rsidRDefault="005A2646" w:rsidP="00E55534">
      <w:pPr>
        <w:bidi w:val="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DD1DBB" w14:textId="295224A4" w:rsidR="005101B4" w:rsidRDefault="00A0216C">
    <w:pPr>
      <w:pStyle w:val="Kopfzeile"/>
      <w:bidi w:val="0"/>
    </w:pPr>
    <w:r>
      <w:rPr>
        <w:noProof/>
        <w:lang w:val="it-it"/>
        <w:b w:val="0"/>
        <w:bCs w:val="0"/>
        <w:i w:val="0"/>
        <w:iCs w:val="0"/>
        <w:u w:val="none"/>
        <w:vertAlign w:val="baseline"/>
        <w:rtl w:val="0"/>
      </w:rPr>
      <mc:AlternateContent>
        <mc:Choice Requires="wps">
          <w:drawing>
            <wp:anchor distT="0" distB="0" distL="0" distR="0" simplePos="0" relativeHeight="251662336" behindDoc="0" locked="0" layoutInCell="1" allowOverlap="1" wp14:anchorId="4F546625" wp14:editId="652CE4CE">
              <wp:simplePos x="635" y="635"/>
              <wp:positionH relativeFrom="rightMargin">
                <wp:align>right</wp:align>
              </wp:positionH>
              <wp:positionV relativeFrom="paragraph">
                <wp:posOffset>635</wp:posOffset>
              </wp:positionV>
              <wp:extent cx="443865" cy="443865"/>
              <wp:effectExtent l="0" t="0" r="0" b="16510"/>
              <wp:wrapSquare wrapText="bothSides"/>
              <wp:docPr id="8" name="Textfeld 8"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C7098AF" w14:textId="669E50F5" w:rsidR="00A0216C" w:rsidRPr="00A0216C" w:rsidRDefault="00A0216C">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it-it"/>
                              <w:b w:val="0"/>
                              <w:bCs w:val="0"/>
                              <w:i w:val="0"/>
                              <w:iCs w:val="0"/>
                              <w:u w:val="none"/>
                              <w:vertAlign w:val="baseline"/>
                              <w:rtl w:val="0"/>
                            </w:rPr>
                            <w:t xml:space="preserve">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w:pict>
            <v:shapetype w14:anchorId="4F546625" id="_x0000_t202" coordsize="21600,21600" o:spt="202" path="m,l,21600r21600,l21600,xe">
              <v:stroke joinstyle="miter"/>
              <v:path gradientshapeok="t" o:connecttype="rect"/>
            </v:shapetype>
            <v:shape id="Textfeld 8" o:spid="_x0000_s1026" type="#_x0000_t202" alt="Company Use" style="position:absolute;margin-left:-16.25pt;margin-top:.05pt;width:34.95pt;height:34.95pt;z-index:251662336;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" filled="f" stroked="f">
              <v:textbox style="mso-fit-shape-to-text:t" inset="0,0,15pt,0">
                <w:txbxContent>
                  <w:p w14:paraId="5C7098AF" w14:textId="669E50F5" w:rsidR="00A0216C" w:rsidRPr="00A0216C" w:rsidRDefault="00A0216C">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it-it"/>
                        <w:b w:val="0"/>
                        <w:bCs w:val="0"/>
                        <w:i w:val="0"/>
                        <w:iCs w:val="0"/>
                        <w:u w:val="none"/>
                        <w:vertAlign w:val="baseline"/>
                        <w:rtl w:val="0"/>
                      </w:rPr>
                      <w:t xml:space="preserve">Company Use</w:t>
                    </w:r>
                  </w:p>
                </w:txbxContent>
              </v:textbox>
              <w10:wrap type="square" anchorx="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EA1B2" w14:textId="2D2FBDDE" w:rsidR="00533132" w:rsidRPr="00533132" w:rsidRDefault="00A0216C" w:rsidP="00533132">
    <w:pPr>
      <w:pStyle w:val="Kopfzeile"/>
      <w:bidi w:val="0"/>
    </w:pPr>
    <w:r>
      <w:rPr>
        <w:noProof/>
        <w:lang w:val="it-it"/>
        <w:b w:val="0"/>
        <w:bCs w:val="0"/>
        <w:i w:val="0"/>
        <w:iCs w:val="0"/>
        <w:u w:val="none"/>
        <w:vertAlign w:val="baseline"/>
        <w:rtl w:val="0"/>
      </w:rPr>
      <mc:AlternateContent>
        <mc:Choice Requires="wps">
          <w:drawing>
            <wp:anchor distT="0" distB="0" distL="0" distR="0" simplePos="0" relativeHeight="251663360" behindDoc="0" locked="0" layoutInCell="1" allowOverlap="1" wp14:anchorId="1B93B86E" wp14:editId="41446927">
              <wp:simplePos x="755374" y="453224"/>
              <wp:positionH relativeFrom="rightMargin">
                <wp:align>right</wp:align>
              </wp:positionH>
              <wp:positionV relativeFrom="paragraph">
                <wp:posOffset>635</wp:posOffset>
              </wp:positionV>
              <wp:extent cx="443865" cy="443865"/>
              <wp:effectExtent l="0" t="0" r="0" b="16510"/>
              <wp:wrapSquare wrapText="bothSides"/>
              <wp:docPr id="10" name="Textfeld 10"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91D52FF" w14:textId="60791171" w:rsidR="00A0216C" w:rsidRPr="00A0216C" w:rsidRDefault="007D393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it-it"/>
                              <w:b w:val="0"/>
                              <w:bCs w:val="0"/>
                              <w:i w:val="0"/>
                              <w:iCs w:val="0"/>
                              <w:u w:val="none"/>
                              <w:vertAlign w:val="baseline"/>
                              <w:rtl w:val="0"/>
                            </w:rPr>
                            <w:t xml:space="preserve">Public</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w:pict>
            <v:shapetype w14:anchorId="1B93B86E" id="_x0000_t202" coordsize="21600,21600" o:spt="202" path="m,l,21600r21600,l21600,xe">
              <v:stroke joinstyle="miter"/>
              <v:path gradientshapeok="t" o:connecttype="rect"/>
            </v:shapetype>
            <v:shape id="Textfeld 10" o:spid="_x0000_s1027" type="#_x0000_t202" alt="Company Use" style="position:absolute;margin-left:-16.25pt;margin-top:.05pt;width:34.95pt;height:34.95pt;z-index:251663360;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" filled="f" stroked="f">
              <v:textbox style="mso-fit-shape-to-text:t" inset="0,0,15pt,0">
                <w:txbxContent>
                  <w:p w14:paraId="491D52FF" w14:textId="60791171" w:rsidR="00A0216C" w:rsidRPr="00A0216C" w:rsidRDefault="007D393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it-it"/>
                        <w:b w:val="0"/>
                        <w:bCs w:val="0"/>
                        <w:i w:val="0"/>
                        <w:iCs w:val="0"/>
                        <w:u w:val="none"/>
                        <w:vertAlign w:val="baseline"/>
                        <w:rtl w:val="0"/>
                      </w:rPr>
                      <w:t xml:space="preserve">Public</w:t>
                    </w:r>
                  </w:p>
                </w:txbxContent>
              </v:textbox>
              <w10:wrap type="square" anchorx="margin"/>
            </v:shape>
          </w:pict>
        </mc:Fallback>
      </mc:AlternateContent>
    </w:r>
    <w:r>
      <w:rPr>
        <w:noProof/>
        <w:lang w:val="it-it"/>
        <w:b w:val="0"/>
        <w:bCs w:val="0"/>
        <w:i w:val="0"/>
        <w:iCs w:val="0"/>
        <w:u w:val="none"/>
        <w:vertAlign w:val="baseline"/>
        <w:rtl w:val="0"/>
      </w:rPr>
      <w:drawing>
        <wp:anchor distT="0" distB="0" distL="114300" distR="114300" simplePos="0" relativeHeight="251660288" behindDoc="1" locked="0" layoutInCell="1" allowOverlap="1" wp14:anchorId="6CC7FC4B" wp14:editId="4F26B4D8">
          <wp:simplePos x="0" y="0"/>
          <wp:positionH relativeFrom="column">
            <wp:posOffset>-759460</wp:posOffset>
          </wp:positionH>
          <wp:positionV relativeFrom="paragraph">
            <wp:posOffset>-453390</wp:posOffset>
          </wp:positionV>
          <wp:extent cx="7559675" cy="10693400"/>
          <wp:effectExtent l="0" t="0" r="0" b="0"/>
          <wp:wrapNone/>
          <wp:docPr id="4" name="Bild 12" descr="Modello comunicato stam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VorlagePressemitteil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06934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66189F" w14:textId="3551C559" w:rsidR="00533132" w:rsidRDefault="00A0216C">
    <w:pPr>
      <w:pStyle w:val="Kopfzeile"/>
      <w:bidi w:val="0"/>
    </w:pPr>
    <w:r>
      <w:rPr>
        <w:noProof/>
        <w:lang w:val="it-it"/>
        <w:b w:val="0"/>
        <w:bCs w:val="0"/>
        <w:i w:val="0"/>
        <w:iCs w:val="0"/>
        <w:u w:val="none"/>
        <w:vertAlign w:val="baseline"/>
        <w:rtl w:val="0"/>
      </w:rPr>
      <mc:AlternateContent>
        <mc:Choice Requires="wps">
          <w:drawing>
            <wp:anchor distT="0" distB="0" distL="0" distR="0" simplePos="0" relativeHeight="251661312" behindDoc="0" locked="0" layoutInCell="1" allowOverlap="1" wp14:anchorId="1D0CB82F" wp14:editId="1AE6EE1D">
              <wp:simplePos x="635" y="635"/>
              <wp:positionH relativeFrom="rightMargin">
                <wp:align>right</wp:align>
              </wp:positionH>
              <wp:positionV relativeFrom="paragraph">
                <wp:posOffset>635</wp:posOffset>
              </wp:positionV>
              <wp:extent cx="443865" cy="443865"/>
              <wp:effectExtent l="0" t="0" r="0" b="16510"/>
              <wp:wrapSquare wrapText="bothSides"/>
              <wp:docPr id="7" name="Textfeld 7"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A48118A" w14:textId="19D5C921" w:rsidR="00A0216C" w:rsidRPr="00A0216C" w:rsidRDefault="00A0216C">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it-it"/>
                              <w:b w:val="0"/>
                              <w:bCs w:val="0"/>
                              <w:i w:val="0"/>
                              <w:iCs w:val="0"/>
                              <w:u w:val="none"/>
                              <w:vertAlign w:val="baseline"/>
                              <w:rtl w:val="0"/>
                            </w:rPr>
                            <w:t xml:space="preserve">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w:pict>
            <v:shapetype w14:anchorId="1D0CB82F" id="_x0000_t202" coordsize="21600,21600" o:spt="202" path="m,l,21600r21600,l21600,xe">
              <v:stroke joinstyle="miter"/>
              <v:path gradientshapeok="t" o:connecttype="rect"/>
            </v:shapetype>
            <v:shape id="Textfeld 7" o:spid="_x0000_s1028" type="#_x0000_t202" alt="Company Use" style="position:absolute;margin-left:-16.25pt;margin-top:.05pt;width:34.95pt;height:34.95pt;z-index:251661312;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" filled="f" stroked="f">
              <v:textbox style="mso-fit-shape-to-text:t" inset="0,0,15pt,0">
                <w:txbxContent>
                  <w:p w14:paraId="5A48118A" w14:textId="19D5C921" w:rsidR="00A0216C" w:rsidRPr="00A0216C" w:rsidRDefault="00A0216C">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it-it"/>
                        <w:b w:val="0"/>
                        <w:bCs w:val="0"/>
                        <w:i w:val="0"/>
                        <w:iCs w:val="0"/>
                        <w:u w:val="none"/>
                        <w:vertAlign w:val="baseline"/>
                        <w:rtl w:val="0"/>
                      </w:rPr>
                      <w:t xml:space="preserve">Company Use</w:t>
                    </w:r>
                  </w:p>
                </w:txbxContent>
              </v:textbox>
              <w10:wrap type="square" anchorx="margin"/>
            </v:shape>
          </w:pict>
        </mc:Fallback>
      </mc:AlternateContent>
    </w:r>
    <w:r>
      <w:rPr>
        <w:noProof/>
        <w:lang w:val="it-it"/>
        <w:b w:val="0"/>
        <w:bCs w:val="0"/>
        <w:i w:val="0"/>
        <w:iCs w:val="0"/>
        <w:u w:val="none"/>
        <w:vertAlign w:val="baseline"/>
        <w:rtl w:val="0"/>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lang w:val="it-it"/>
        <w:b w:val="0"/>
        <w:bCs w:val="0"/>
        <w:i w:val="0"/>
        <w:iCs w:val="0"/>
        <w:u w:val="none"/>
        <w:vertAlign w:val="baseline"/>
        <w:rtl w:val="0"/>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it-it"/>
        <w:b w:val="0"/>
        <w:bCs w:val="0"/>
        <w:i w:val="0"/>
        <w:iCs w:val="0"/>
        <w:u w:val="none"/>
        <w:vertAlign w:val="baseline"/>
        <w:rtl w:val="0"/>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500pt;height:1500pt" o:bullet="t">
        <v:imagedata r:id="rId1" o:title="AZ_04a"/>
      </v:shape>
    </w:pict>
  </w:numPicBullet>
  <w:numPicBullet w:numPicBulletId="1">
    <w:pic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v:shape id="_x0000_i1027" type="#_x0000_t75" style="width:7.5pt;height:7.5pt" o:bullet="t">
        <v:imagedata r:id="rId2" o:title="aufzählung"/>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724DFD"/>
    <w:multiLevelType w:val="hybridMultilevel"/>
    <w:tmpl w:val="97FAE9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4" w15:restartNumberingAfterBreak="0">
    <w:nsid w:val="24F46ADD"/>
    <w:multiLevelType w:val="multilevel"/>
    <w:tmpl w:val="B1A82EFC"/>
    <w:numStyleLink w:val="zzzThemen"/>
  </w:abstractNum>
  <w:abstractNum w:abstractNumId="5"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6"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7"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9"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9"/>
  </w:num>
  <w:num w:numId="2">
    <w:abstractNumId w:val="9"/>
  </w:num>
  <w:num w:numId="3">
    <w:abstractNumId w:val="9"/>
  </w:num>
  <w:num w:numId="4">
    <w:abstractNumId w:val="9"/>
  </w:num>
  <w:num w:numId="5">
    <w:abstractNumId w:val="9"/>
  </w:num>
  <w:num w:numId="6">
    <w:abstractNumId w:val="3"/>
  </w:num>
  <w:num w:numId="7">
    <w:abstractNumId w:val="3"/>
  </w:num>
  <w:num w:numId="8">
    <w:abstractNumId w:val="3"/>
  </w:num>
  <w:num w:numId="9">
    <w:abstractNumId w:val="3"/>
  </w:num>
  <w:num w:numId="10">
    <w:abstractNumId w:val="3"/>
  </w:num>
  <w:num w:numId="11">
    <w:abstractNumId w:val="6"/>
  </w:num>
  <w:num w:numId="12">
    <w:abstractNumId w:val="6"/>
  </w:num>
  <w:num w:numId="13">
    <w:abstractNumId w:val="5"/>
  </w:num>
  <w:num w:numId="14">
    <w:abstractNumId w:val="5"/>
  </w:num>
  <w:num w:numId="15">
    <w:abstractNumId w:val="5"/>
  </w:num>
  <w:num w:numId="16">
    <w:abstractNumId w:val="5"/>
  </w:num>
  <w:num w:numId="17">
    <w:abstractNumId w:val="5"/>
  </w:num>
  <w:num w:numId="18">
    <w:abstractNumId w:val="2"/>
  </w:num>
  <w:num w:numId="19">
    <w:abstractNumId w:val="4"/>
  </w:num>
  <w:num w:numId="20">
    <w:abstractNumId w:val="8"/>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51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551D"/>
    <w:rsid w:val="0000745C"/>
    <w:rsid w:val="000148B3"/>
    <w:rsid w:val="00042106"/>
    <w:rsid w:val="0005285B"/>
    <w:rsid w:val="00055529"/>
    <w:rsid w:val="00062C3A"/>
    <w:rsid w:val="00066D09"/>
    <w:rsid w:val="0009665C"/>
    <w:rsid w:val="000A0479"/>
    <w:rsid w:val="000A36D9"/>
    <w:rsid w:val="000A4C7D"/>
    <w:rsid w:val="000B582B"/>
    <w:rsid w:val="000D15C3"/>
    <w:rsid w:val="000E24F8"/>
    <w:rsid w:val="000E5738"/>
    <w:rsid w:val="000F3883"/>
    <w:rsid w:val="00103205"/>
    <w:rsid w:val="00112A48"/>
    <w:rsid w:val="0011795C"/>
    <w:rsid w:val="0012026F"/>
    <w:rsid w:val="00130601"/>
    <w:rsid w:val="00132055"/>
    <w:rsid w:val="00146C3D"/>
    <w:rsid w:val="00153B47"/>
    <w:rsid w:val="001613A6"/>
    <w:rsid w:val="001614F0"/>
    <w:rsid w:val="001616F4"/>
    <w:rsid w:val="001632B1"/>
    <w:rsid w:val="0018021A"/>
    <w:rsid w:val="00194FB1"/>
    <w:rsid w:val="001B16BB"/>
    <w:rsid w:val="001B34EE"/>
    <w:rsid w:val="001C1A3E"/>
    <w:rsid w:val="00200355"/>
    <w:rsid w:val="0021351D"/>
    <w:rsid w:val="00253A2E"/>
    <w:rsid w:val="002603EC"/>
    <w:rsid w:val="002611FE"/>
    <w:rsid w:val="00282AFC"/>
    <w:rsid w:val="00286C15"/>
    <w:rsid w:val="0029634D"/>
    <w:rsid w:val="002C7542"/>
    <w:rsid w:val="002D065C"/>
    <w:rsid w:val="002D0780"/>
    <w:rsid w:val="002D2EE5"/>
    <w:rsid w:val="002D63E6"/>
    <w:rsid w:val="002E4EB0"/>
    <w:rsid w:val="002E765F"/>
    <w:rsid w:val="002E7E4E"/>
    <w:rsid w:val="002F108B"/>
    <w:rsid w:val="002F5818"/>
    <w:rsid w:val="002F70FD"/>
    <w:rsid w:val="0030316D"/>
    <w:rsid w:val="0032774C"/>
    <w:rsid w:val="00332D28"/>
    <w:rsid w:val="0034191A"/>
    <w:rsid w:val="00343CC7"/>
    <w:rsid w:val="0036561D"/>
    <w:rsid w:val="003665BE"/>
    <w:rsid w:val="00384A08"/>
    <w:rsid w:val="00387E6F"/>
    <w:rsid w:val="003967E5"/>
    <w:rsid w:val="003A753A"/>
    <w:rsid w:val="003B3803"/>
    <w:rsid w:val="003C2A71"/>
    <w:rsid w:val="003E1CB6"/>
    <w:rsid w:val="003E3CF6"/>
    <w:rsid w:val="003E759F"/>
    <w:rsid w:val="003E7853"/>
    <w:rsid w:val="003F57AB"/>
    <w:rsid w:val="00400FD9"/>
    <w:rsid w:val="004016F7"/>
    <w:rsid w:val="00403373"/>
    <w:rsid w:val="00406C81"/>
    <w:rsid w:val="00412545"/>
    <w:rsid w:val="0041475A"/>
    <w:rsid w:val="00417237"/>
    <w:rsid w:val="00430BB0"/>
    <w:rsid w:val="0046460D"/>
    <w:rsid w:val="00467F3C"/>
    <w:rsid w:val="0047498D"/>
    <w:rsid w:val="00476100"/>
    <w:rsid w:val="00487BFC"/>
    <w:rsid w:val="004A463B"/>
    <w:rsid w:val="004C1967"/>
    <w:rsid w:val="004D23D0"/>
    <w:rsid w:val="004D2BE0"/>
    <w:rsid w:val="004E6EF5"/>
    <w:rsid w:val="00502E34"/>
    <w:rsid w:val="00506409"/>
    <w:rsid w:val="005101B4"/>
    <w:rsid w:val="00530E32"/>
    <w:rsid w:val="00533132"/>
    <w:rsid w:val="00537210"/>
    <w:rsid w:val="005649F4"/>
    <w:rsid w:val="005710C8"/>
    <w:rsid w:val="005711A3"/>
    <w:rsid w:val="00571A5C"/>
    <w:rsid w:val="00573B2B"/>
    <w:rsid w:val="005776E9"/>
    <w:rsid w:val="00587AD9"/>
    <w:rsid w:val="005909A8"/>
    <w:rsid w:val="005A2646"/>
    <w:rsid w:val="005A4F04"/>
    <w:rsid w:val="005B5793"/>
    <w:rsid w:val="005C6B30"/>
    <w:rsid w:val="005C71EC"/>
    <w:rsid w:val="005E764C"/>
    <w:rsid w:val="005E7F7D"/>
    <w:rsid w:val="006063D4"/>
    <w:rsid w:val="00623B37"/>
    <w:rsid w:val="006330A2"/>
    <w:rsid w:val="00642EB6"/>
    <w:rsid w:val="006433E2"/>
    <w:rsid w:val="00651E5D"/>
    <w:rsid w:val="00677F11"/>
    <w:rsid w:val="00682B1A"/>
    <w:rsid w:val="00690D7C"/>
    <w:rsid w:val="00690DFE"/>
    <w:rsid w:val="006B3EEC"/>
    <w:rsid w:val="006C0C87"/>
    <w:rsid w:val="006D6CC6"/>
    <w:rsid w:val="006D7EAC"/>
    <w:rsid w:val="006E0104"/>
    <w:rsid w:val="006F7602"/>
    <w:rsid w:val="00722A17"/>
    <w:rsid w:val="00723F4F"/>
    <w:rsid w:val="00753D8D"/>
    <w:rsid w:val="00754B80"/>
    <w:rsid w:val="00755AE0"/>
    <w:rsid w:val="0075761B"/>
    <w:rsid w:val="00757B83"/>
    <w:rsid w:val="00765D74"/>
    <w:rsid w:val="00774358"/>
    <w:rsid w:val="00791A69"/>
    <w:rsid w:val="0079462A"/>
    <w:rsid w:val="00794830"/>
    <w:rsid w:val="00797CAA"/>
    <w:rsid w:val="007A2B6F"/>
    <w:rsid w:val="007A6BD2"/>
    <w:rsid w:val="007C2658"/>
    <w:rsid w:val="007D393A"/>
    <w:rsid w:val="007D59A2"/>
    <w:rsid w:val="007E20D0"/>
    <w:rsid w:val="007E3DAB"/>
    <w:rsid w:val="007F2EBD"/>
    <w:rsid w:val="008053B3"/>
    <w:rsid w:val="00820315"/>
    <w:rsid w:val="00823073"/>
    <w:rsid w:val="0082316D"/>
    <w:rsid w:val="00832921"/>
    <w:rsid w:val="00834472"/>
    <w:rsid w:val="00836A5D"/>
    <w:rsid w:val="008427F2"/>
    <w:rsid w:val="00843B45"/>
    <w:rsid w:val="0084571C"/>
    <w:rsid w:val="00863129"/>
    <w:rsid w:val="00866830"/>
    <w:rsid w:val="00870ACE"/>
    <w:rsid w:val="00873125"/>
    <w:rsid w:val="008755E5"/>
    <w:rsid w:val="00881E44"/>
    <w:rsid w:val="00892F6F"/>
    <w:rsid w:val="00896F7E"/>
    <w:rsid w:val="008C2A29"/>
    <w:rsid w:val="008C2DB2"/>
    <w:rsid w:val="008D2B87"/>
    <w:rsid w:val="008D770E"/>
    <w:rsid w:val="0090337E"/>
    <w:rsid w:val="009049D8"/>
    <w:rsid w:val="00910609"/>
    <w:rsid w:val="00915841"/>
    <w:rsid w:val="009328FA"/>
    <w:rsid w:val="00936916"/>
    <w:rsid w:val="00936A78"/>
    <w:rsid w:val="009375E1"/>
    <w:rsid w:val="0093786A"/>
    <w:rsid w:val="009405D6"/>
    <w:rsid w:val="00952853"/>
    <w:rsid w:val="00954D68"/>
    <w:rsid w:val="009646E4"/>
    <w:rsid w:val="00977EC3"/>
    <w:rsid w:val="0098631D"/>
    <w:rsid w:val="009B17A9"/>
    <w:rsid w:val="009B211F"/>
    <w:rsid w:val="009B7C05"/>
    <w:rsid w:val="009C2378"/>
    <w:rsid w:val="009C5A77"/>
    <w:rsid w:val="009C5D99"/>
    <w:rsid w:val="009D016F"/>
    <w:rsid w:val="009E251D"/>
    <w:rsid w:val="009E4817"/>
    <w:rsid w:val="009F10A8"/>
    <w:rsid w:val="009F715C"/>
    <w:rsid w:val="00A0216C"/>
    <w:rsid w:val="00A02F49"/>
    <w:rsid w:val="00A171F4"/>
    <w:rsid w:val="00A1772D"/>
    <w:rsid w:val="00A177B2"/>
    <w:rsid w:val="00A24EFC"/>
    <w:rsid w:val="00A27829"/>
    <w:rsid w:val="00A46F1E"/>
    <w:rsid w:val="00A54B45"/>
    <w:rsid w:val="00A66B3F"/>
    <w:rsid w:val="00A82395"/>
    <w:rsid w:val="00A9295C"/>
    <w:rsid w:val="00A977CE"/>
    <w:rsid w:val="00AA0DF7"/>
    <w:rsid w:val="00AB52F9"/>
    <w:rsid w:val="00AB6B9C"/>
    <w:rsid w:val="00AD131F"/>
    <w:rsid w:val="00AD32D5"/>
    <w:rsid w:val="00AD70E4"/>
    <w:rsid w:val="00AF3B3A"/>
    <w:rsid w:val="00AF4E8E"/>
    <w:rsid w:val="00AF6569"/>
    <w:rsid w:val="00B06265"/>
    <w:rsid w:val="00B35915"/>
    <w:rsid w:val="00B5101D"/>
    <w:rsid w:val="00B5232A"/>
    <w:rsid w:val="00B60ED1"/>
    <w:rsid w:val="00B62CF5"/>
    <w:rsid w:val="00B85705"/>
    <w:rsid w:val="00B874DC"/>
    <w:rsid w:val="00B90F78"/>
    <w:rsid w:val="00BB6A28"/>
    <w:rsid w:val="00BD1058"/>
    <w:rsid w:val="00BD25D1"/>
    <w:rsid w:val="00BD5391"/>
    <w:rsid w:val="00BD764C"/>
    <w:rsid w:val="00BF56B2"/>
    <w:rsid w:val="00C055AB"/>
    <w:rsid w:val="00C06F64"/>
    <w:rsid w:val="00C11F95"/>
    <w:rsid w:val="00C136DF"/>
    <w:rsid w:val="00C17501"/>
    <w:rsid w:val="00C40627"/>
    <w:rsid w:val="00C43EAF"/>
    <w:rsid w:val="00C457C3"/>
    <w:rsid w:val="00C644CA"/>
    <w:rsid w:val="00C658FC"/>
    <w:rsid w:val="00C73005"/>
    <w:rsid w:val="00C84D75"/>
    <w:rsid w:val="00C85E18"/>
    <w:rsid w:val="00C96E9F"/>
    <w:rsid w:val="00CA4A09"/>
    <w:rsid w:val="00CB71DD"/>
    <w:rsid w:val="00CC5A63"/>
    <w:rsid w:val="00CC787C"/>
    <w:rsid w:val="00CF36C9"/>
    <w:rsid w:val="00D00EC4"/>
    <w:rsid w:val="00D166AC"/>
    <w:rsid w:val="00D20B6F"/>
    <w:rsid w:val="00D36BA2"/>
    <w:rsid w:val="00D37CF4"/>
    <w:rsid w:val="00D4487C"/>
    <w:rsid w:val="00D63D33"/>
    <w:rsid w:val="00D73352"/>
    <w:rsid w:val="00D935C3"/>
    <w:rsid w:val="00DA0266"/>
    <w:rsid w:val="00DA477E"/>
    <w:rsid w:val="00DB4BB0"/>
    <w:rsid w:val="00DE461D"/>
    <w:rsid w:val="00E04039"/>
    <w:rsid w:val="00E14608"/>
    <w:rsid w:val="00E15EBE"/>
    <w:rsid w:val="00E20825"/>
    <w:rsid w:val="00E21E67"/>
    <w:rsid w:val="00E30EBF"/>
    <w:rsid w:val="00E316C0"/>
    <w:rsid w:val="00E31E03"/>
    <w:rsid w:val="00E451CD"/>
    <w:rsid w:val="00E51170"/>
    <w:rsid w:val="00E52D70"/>
    <w:rsid w:val="00E55534"/>
    <w:rsid w:val="00E7116D"/>
    <w:rsid w:val="00E72429"/>
    <w:rsid w:val="00E914D1"/>
    <w:rsid w:val="00E960D8"/>
    <w:rsid w:val="00EB5FCA"/>
    <w:rsid w:val="00EE78EA"/>
    <w:rsid w:val="00F048D4"/>
    <w:rsid w:val="00F20920"/>
    <w:rsid w:val="00F23212"/>
    <w:rsid w:val="00F33B16"/>
    <w:rsid w:val="00F353EA"/>
    <w:rsid w:val="00F36C27"/>
    <w:rsid w:val="00F56318"/>
    <w:rsid w:val="00F56CBF"/>
    <w:rsid w:val="00F67C95"/>
    <w:rsid w:val="00F74540"/>
    <w:rsid w:val="00F75B79"/>
    <w:rsid w:val="00F82525"/>
    <w:rsid w:val="00F911CB"/>
    <w:rsid w:val="00F91AC4"/>
    <w:rsid w:val="00F97FEA"/>
    <w:rsid w:val="00FB60E1"/>
    <w:rsid w:val="00FD3768"/>
    <w:rsid w:val="00FD51E9"/>
    <w:rsid w:val="00FF487E"/>
    <w:rsid w:val="00FF52AE"/>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5121"/>
    <o:shapelayout v:ext="edit">
      <o:idmap v:ext="edit" data="2"/>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C787C"/>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qFormat/>
    <w:rsid w:val="0030316D"/>
    <w:pPr>
      <w:spacing w:line="600" w:lineRule="exact"/>
      <w:contextualSpacing/>
    </w:pPr>
    <w:rPr>
      <w:rFonts w:eastAsia="MS Mincho"/>
      <w:b/>
      <w:color w:val="5C666F"/>
      <w:sz w:val="40"/>
      <w:szCs w:val="52"/>
    </w:rPr>
  </w:style>
  <w:style w:type="character" w:customStyle="1" w:styleId="TitelZchn">
    <w:name w:val="Titel Zchn"/>
    <w:link w:val="Titel"/>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semiHidden/>
    <w:unhideWhenUsed/>
    <w:rsid w:val="00D37CF4"/>
    <w:rPr>
      <w:sz w:val="20"/>
      <w:szCs w:val="20"/>
    </w:rPr>
  </w:style>
  <w:style w:type="character" w:customStyle="1" w:styleId="KommentartextZchn">
    <w:name w:val="Kommentartext Zchn"/>
    <w:basedOn w:val="Absatz-Standardschriftart"/>
    <w:link w:val="Kommentartext"/>
    <w:uiPriority w:val="99"/>
    <w:semiHidden/>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Teaserhead">
    <w:name w:val="Teaserhead"/>
    <w:basedOn w:val="Standardabsatz"/>
    <w:qFormat/>
    <w:rsid w:val="00881E44"/>
    <w:pPr>
      <w:spacing w:after="0"/>
    </w:pPr>
    <w:rPr>
      <w:b/>
    </w:rPr>
  </w:style>
  <w:style w:type="paragraph" w:customStyle="1" w:styleId="Standardabsatz">
    <w:name w:val="Standardabsatz"/>
    <w:basedOn w:val="Standard"/>
    <w:qFormat/>
    <w:rsid w:val="00881E44"/>
    <w:pPr>
      <w:spacing w:after="220"/>
      <w:jc w:val="both"/>
    </w:pPr>
    <w:rPr>
      <w:rFonts w:eastAsiaTheme="minorHAnsi" w:cstheme="minorBidi"/>
      <w:sz w:val="22"/>
      <w:szCs w:val="24"/>
    </w:rPr>
  </w:style>
  <w:style w:type="paragraph" w:customStyle="1" w:styleId="Fuzeile1">
    <w:name w:val="Fußzeile1"/>
    <w:basedOn w:val="Absatzberschrift"/>
    <w:qFormat/>
    <w:rsid w:val="00E15EBE"/>
    <w:rPr>
      <w:b w:val="0"/>
      <w:bCs/>
      <w:iCs/>
      <w:szCs w:val="22"/>
    </w:rPr>
  </w:style>
  <w:style w:type="paragraph" w:customStyle="1" w:styleId="Subhead">
    <w:name w:val="Subhead"/>
    <w:next w:val="Teaser"/>
    <w:qFormat/>
    <w:rsid w:val="00881E44"/>
    <w:pPr>
      <w:spacing w:after="220"/>
    </w:pPr>
    <w:rPr>
      <w:rFonts w:eastAsiaTheme="majorEastAsia" w:cstheme="majorBidi"/>
      <w:b/>
      <w:iCs/>
      <w:sz w:val="28"/>
      <w:szCs w:val="28"/>
      <w:lang w:eastAsia="en-US"/>
    </w:rPr>
  </w:style>
  <w:style w:type="paragraph" w:customStyle="1" w:styleId="Head">
    <w:name w:val="Head"/>
    <w:next w:val="Subhead"/>
    <w:qFormat/>
    <w:rsid w:val="00A27829"/>
    <w:pPr>
      <w:spacing w:after="220"/>
      <w:contextualSpacing/>
    </w:pPr>
    <w:rPr>
      <w:rFonts w:eastAsiaTheme="majorEastAsia" w:cstheme="majorBidi"/>
      <w:b/>
      <w:bCs/>
      <w:spacing w:val="-10"/>
      <w:kern w:val="28"/>
      <w:sz w:val="40"/>
      <w:szCs w:val="40"/>
      <w:lang w:eastAsia="en-US"/>
    </w:rPr>
  </w:style>
  <w:style w:type="paragraph" w:customStyle="1" w:styleId="Absatzberschrift">
    <w:name w:val="Absatzüberschrift"/>
    <w:next w:val="Standardabsatz"/>
    <w:qFormat/>
    <w:rsid w:val="002611FE"/>
    <w:pPr>
      <w:snapToGrid w:val="0"/>
      <w:contextualSpacing/>
    </w:pPr>
    <w:rPr>
      <w:rFonts w:eastAsiaTheme="minorHAnsi" w:cstheme="minorBidi"/>
      <w:b/>
      <w:sz w:val="22"/>
      <w:szCs w:val="24"/>
      <w:lang w:eastAsia="en-US"/>
    </w:rPr>
  </w:style>
  <w:style w:type="paragraph" w:customStyle="1" w:styleId="Fotos">
    <w:name w:val="Fotos"/>
    <w:basedOn w:val="Standard"/>
    <w:qFormat/>
    <w:rsid w:val="00E15EBE"/>
    <w:pPr>
      <w:spacing w:after="220"/>
    </w:pPr>
    <w:rPr>
      <w:rFonts w:eastAsiaTheme="minorHAnsi" w:cstheme="minorBidi"/>
      <w:b/>
      <w:sz w:val="22"/>
      <w:szCs w:val="24"/>
    </w:rPr>
  </w:style>
  <w:style w:type="paragraph" w:customStyle="1" w:styleId="BUbold">
    <w:name w:val="BU bold"/>
    <w:basedOn w:val="Standard"/>
    <w:next w:val="BUnormal"/>
    <w:qFormat/>
    <w:rsid w:val="00537210"/>
    <w:rPr>
      <w:rFonts w:eastAsiaTheme="minorHAnsi" w:cstheme="minorBidi"/>
      <w:b/>
      <w:sz w:val="20"/>
      <w:szCs w:val="24"/>
    </w:rPr>
  </w:style>
  <w:style w:type="paragraph" w:customStyle="1" w:styleId="BUnormal">
    <w:name w:val="BU normal"/>
    <w:next w:val="Note"/>
    <w:qFormat/>
    <w:rsid w:val="002611FE"/>
    <w:pPr>
      <w:snapToGrid w:val="0"/>
      <w:spacing w:after="220"/>
    </w:pPr>
    <w:rPr>
      <w:rFonts w:eastAsiaTheme="minorHAnsi" w:cstheme="minorBidi"/>
      <w:color w:val="000000"/>
      <w:lang w:eastAsia="en-US"/>
    </w:rPr>
  </w:style>
  <w:style w:type="paragraph" w:customStyle="1" w:styleId="Note">
    <w:name w:val="Note"/>
    <w:next w:val="Standardabsatz"/>
    <w:qFormat/>
    <w:rsid w:val="006C0C87"/>
    <w:pPr>
      <w:spacing w:before="220" w:after="440"/>
    </w:pPr>
    <w:rPr>
      <w:rFonts w:eastAsiaTheme="minorHAnsi" w:cstheme="minorBidi"/>
      <w:i/>
      <w:color w:val="000000"/>
      <w:lang w:eastAsia="en-US"/>
    </w:rPr>
  </w:style>
  <w:style w:type="paragraph" w:customStyle="1" w:styleId="Teaser">
    <w:name w:val="Teaser"/>
    <w:basedOn w:val="Standardabsatz"/>
    <w:next w:val="Standardabsatz"/>
    <w:qFormat/>
    <w:rsid w:val="00881E44"/>
    <w:pPr>
      <w:contextualSpacing/>
    </w:pPr>
    <w:rPr>
      <w:b/>
    </w:rPr>
  </w:style>
  <w:style w:type="character" w:styleId="NichtaufgelsteErwhnung">
    <w:name w:val="Unresolved Mention"/>
    <w:basedOn w:val="Absatz-Standardschriftart"/>
    <w:uiPriority w:val="99"/>
    <w:semiHidden/>
    <w:unhideWhenUsed/>
    <w:rsid w:val="00B5101D"/>
    <w:rPr>
      <w:color w:val="605E5C"/>
      <w:shd w:val="clear" w:color="auto" w:fill="E1DFDD"/>
    </w:rPr>
  </w:style>
  <w:style w:type="character" w:styleId="BesuchterLink">
    <w:name w:val="FollowedHyperlink"/>
    <w:basedOn w:val="Absatz-Standardschriftart"/>
    <w:uiPriority w:val="99"/>
    <w:semiHidden/>
    <w:unhideWhenUsed/>
    <w:rsid w:val="00E20825"/>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9647851">
      <w:bodyDiv w:val="1"/>
      <w:marLeft w:val="0"/>
      <w:marRight w:val="0"/>
      <w:marTop w:val="0"/>
      <w:marBottom w:val="0"/>
      <w:divBdr>
        <w:top w:val="none" w:sz="0" w:space="0" w:color="auto"/>
        <w:left w:val="none" w:sz="0" w:space="0" w:color="auto"/>
        <w:bottom w:val="none" w:sz="0" w:space="0" w:color="auto"/>
        <w:right w:val="none" w:sz="0" w:space="0" w:color="auto"/>
      </w:divBdr>
    </w:div>
    <w:div w:id="1087505256">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eg" /><Relationship Id="rId13" Type="http://schemas.openxmlformats.org/officeDocument/2006/relationships/header" Target="header2.xml" /><Relationship Id="rId18" Type="http://schemas.openxmlformats.org/officeDocument/2006/relationships/theme" Target="theme/theme1.xml" /><Relationship Id="rId3" Type="http://schemas.openxmlformats.org/officeDocument/2006/relationships/styles" Target="styles.xml" /><Relationship Id="rId7" Type="http://schemas.openxmlformats.org/officeDocument/2006/relationships/endnotes" Target="endnotes.xml" /><Relationship Id="rId12" Type="http://schemas.openxmlformats.org/officeDocument/2006/relationships/header" Target="header1.xml" /><Relationship Id="rId17" Type="http://schemas.openxmlformats.org/officeDocument/2006/relationships/fontTable" Target="fontTable.xml" /><Relationship Id="rId2" Type="http://schemas.openxmlformats.org/officeDocument/2006/relationships/numbering" Target="numbering.xml" /><Relationship Id="rId16" Type="http://schemas.openxmlformats.org/officeDocument/2006/relationships/footer" Target="footer2.xml" /><Relationship Id="rId1" Type="http://schemas.openxmlformats.org/officeDocument/2006/relationships/customXml" Target="../customXml/item1.xml" /><Relationship Id="rId6" Type="http://schemas.openxmlformats.org/officeDocument/2006/relationships/footnotes" Target="footnotes.xml" /><Relationship Id="rId11" Type="http://schemas.openxmlformats.org/officeDocument/2006/relationships/hyperlink" TargetMode="External" Target="http://www.wirtgen-group.com" /><Relationship Id="rId5" Type="http://schemas.openxmlformats.org/officeDocument/2006/relationships/webSettings" Target="webSettings.xml" /><Relationship Id="rId15" Type="http://schemas.openxmlformats.org/officeDocument/2006/relationships/header" Target="header3.xml" /><Relationship Id="rId10" Type="http://schemas.openxmlformats.org/officeDocument/2006/relationships/hyperlink" TargetMode="External" Target="mailto:PR@wirtgen-group.com" /><Relationship Id="rId4" Type="http://schemas.openxmlformats.org/officeDocument/2006/relationships/settings" Target="settings.xml" /><Relationship Id="rId9" Type="http://schemas.openxmlformats.org/officeDocument/2006/relationships/image" Target="media/image4.png" /><Relationship Id="rId14" Type="http://schemas.openxmlformats.org/officeDocument/2006/relationships/footer" Target="footer1.xml" /></Relationships>
</file>

<file path=word/_rels/header2.xml.rels><?xml version="1.0" encoding="UTF-8" standalone="yes"?>
<Relationships xmlns="http://schemas.openxmlformats.org/package/2006/relationships"><Relationship Id="rId1" Type="http://schemas.openxmlformats.org/officeDocument/2006/relationships/image" Target="media/image5.emf" /></Relationships>
</file>

<file path=word/_rels/header3.xml.rels><?xml version="1.0" encoding="UTF-8" standalone="yes"?>
<Relationships xmlns="http://schemas.openxmlformats.org/package/2006/relationships"><Relationship Id="rId2" Type="http://schemas.openxmlformats.org/officeDocument/2006/relationships/image" Target="media/image7.wmf" /><Relationship Id="rId1" Type="http://schemas.openxmlformats.org/officeDocument/2006/relationships/image" Target="media/image6.wmf" /></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R:\MT_CC\01%20-%20Presse%20und%20&#214;ffentlichkeitsarbeit\01%20-%20Presseartikel\99_Vorlagen\PR_WIRTGEN%20GROUP_Vorlag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189DBF-61F8-46E5-B159-A207CF1842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PR_WIRTGEN GROUP_Vorlage.dotx</Template>
  <TotalTime>0</TotalTime>
  <Pages>4</Pages>
  <Words>1173</Words>
  <Characters>7395</Characters>
  <Application>Microsoft Office Word</Application>
  <DocSecurity>0</DocSecurity>
  <Lines>61</Lines>
  <Paragraphs>17</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8551</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Zierden-Schwietert Monika</cp:lastModifiedBy>
  <cp:revision>18</cp:revision>
  <cp:lastPrinted>2021-10-28T15:19:00Z</cp:lastPrinted>
  <dcterms:created xsi:type="dcterms:W3CDTF">2022-03-15T15:03:00Z</dcterms:created>
  <dcterms:modified xsi:type="dcterms:W3CDTF">2026-02-27T07:28:00Z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7,8,a</vt:lpwstr>
  </property>
  <property fmtid="{D5CDD505-2E9C-101B-9397-08002B2CF9AE}" pid="3" name="ClassificationContentMarkingHeaderFontProps">
    <vt:lpwstr>#ff0000,10,Calibri</vt:lpwstr>
  </property>
  <property fmtid="{D5CDD505-2E9C-101B-9397-08002B2CF9AE}" pid="4" name="ClassificationContentMarkingHeaderText">
    <vt:lpwstr>Company Use</vt:lpwstr>
  </property>
  <property fmtid="{D5CDD505-2E9C-101B-9397-08002B2CF9AE}" pid="5" name="MSIP_Label_53eb3ead-8c2d-4695-9d06-baf35a321a90_Enabled">
    <vt:lpwstr>true</vt:lpwstr>
  </property>
  <property fmtid="{D5CDD505-2E9C-101B-9397-08002B2CF9AE}" pid="6" name="MSIP_Label_53eb3ead-8c2d-4695-9d06-baf35a321a90_SetDate">
    <vt:lpwstr>2023-04-12T08:40:49Z</vt:lpwstr>
  </property>
  <property fmtid="{D5CDD505-2E9C-101B-9397-08002B2CF9AE}" pid="7" name="MSIP_Label_53eb3ead-8c2d-4695-9d06-baf35a321a90_Method">
    <vt:lpwstr>Privileged</vt:lpwstr>
  </property>
  <property fmtid="{D5CDD505-2E9C-101B-9397-08002B2CF9AE}" pid="8" name="MSIP_Label_53eb3ead-8c2d-4695-9d06-baf35a321a90_Name">
    <vt:lpwstr>Company Use</vt:lpwstr>
  </property>
  <property fmtid="{D5CDD505-2E9C-101B-9397-08002B2CF9AE}" pid="9" name="MSIP_Label_53eb3ead-8c2d-4695-9d06-baf35a321a90_SiteId">
    <vt:lpwstr>4aa45fee-62ee-49ff-a377-c53bd72cd986</vt:lpwstr>
  </property>
  <property fmtid="{D5CDD505-2E9C-101B-9397-08002B2CF9AE}" pid="10" name="MSIP_Label_53eb3ead-8c2d-4695-9d06-baf35a321a90_ActionId">
    <vt:lpwstr>a64c44f7-51f7-4234-9454-b53c86b3ed22</vt:lpwstr>
  </property>
  <property fmtid="{D5CDD505-2E9C-101B-9397-08002B2CF9AE}" pid="11" name="MSIP_Label_53eb3ead-8c2d-4695-9d06-baf35a321a90_ContentBits">
    <vt:lpwstr>1</vt:lpwstr>
  </property>
</Properties>
</file>