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D78F386" w:rsidR="00A27829" w:rsidRDefault="00B2031A" w:rsidP="00A27829">
      <w:pPr>
        <w:pStyle w:val="Head"/>
      </w:pPr>
      <w:r>
        <w:rPr>
          <w:i/>
          <w:iCs/>
        </w:rPr>
        <w:t>Kleemann</w:t>
      </w:r>
      <w:r>
        <w:t xml:space="preserve"> | Mazāk trokšņa un putekļu, kas nodrošina lielāku ilgtspējību</w:t>
      </w:r>
    </w:p>
    <w:p w14:paraId="34CB88CA" w14:textId="0ED48FCA" w:rsidR="00534639" w:rsidRPr="00534639" w:rsidRDefault="00534639" w:rsidP="00534639">
      <w:pPr>
        <w:pStyle w:val="Subhead"/>
      </w:pPr>
      <w:r>
        <w:t xml:space="preserve">Lai aizsargātu darbiniekus un vidi, </w:t>
      </w:r>
      <w:r>
        <w:rPr>
          <w:i/>
        </w:rPr>
        <w:t>Kleemann</w:t>
      </w:r>
      <w:r>
        <w:t xml:space="preserve"> nepārtraukti attīsta koncepcijas aizsardzībai pret troksni un putekļiem</w:t>
      </w:r>
    </w:p>
    <w:p w14:paraId="7C7AFB35" w14:textId="024DFA05" w:rsidR="00B2031A" w:rsidRPr="002B66AB" w:rsidRDefault="00534639" w:rsidP="00534639">
      <w:pPr>
        <w:pStyle w:val="Teaser"/>
      </w:pPr>
      <w:r>
        <w:t xml:space="preserve">Pārmērīga trokšņa un putekļu emisija ilgtermiņā kaitē veselībai. Lai aizsargātu ne tikai darbiniekus būvobjektos, bet arī apkārtnē dzīvojošos cilvēkus un dzīvniekus, </w:t>
      </w:r>
      <w:r>
        <w:rPr>
          <w:i/>
          <w:iCs/>
        </w:rPr>
        <w:t>Kleemann</w:t>
      </w:r>
      <w:r>
        <w:t xml:space="preserve"> pastāvīgi izstrādā jaunus pasākumus trokšņa un putekļu emisiju samazināšanai un efektīvai ierobežošanai. Tādējādi jaunākās EVO2 paaudzes </w:t>
      </w:r>
      <w:r>
        <w:rPr>
          <w:i/>
          <w:iCs/>
        </w:rPr>
        <w:t>Kleemann</w:t>
      </w:r>
      <w:r>
        <w:t xml:space="preserve"> iekārtas darbojas ar zemāku skaņas jaudas līmeni nekā to priekšgājēji.</w:t>
      </w:r>
    </w:p>
    <w:p w14:paraId="6A4BB482" w14:textId="6B8C71A6" w:rsidR="004B6E63" w:rsidRPr="00A51942" w:rsidRDefault="004B6E63" w:rsidP="004B6E63">
      <w:pPr>
        <w:pStyle w:val="Teaserhead"/>
      </w:pPr>
      <w:r>
        <w:t>Mazāks troksnis pilsētās</w:t>
      </w:r>
    </w:p>
    <w:p w14:paraId="7558E139" w14:textId="77777777" w:rsidR="004B6E63" w:rsidRPr="00963C62" w:rsidRDefault="004B6E63" w:rsidP="004B6E63">
      <w:pPr>
        <w:pStyle w:val="Standardabsatz"/>
      </w:pPr>
      <w:r>
        <w:t xml:space="preserve">Daudzi cilvēki ir pakļauti trokšņa emisijām - sevišķi būvobjektos pilsētu teritorijās. Tāpēc visaptveroša aizsardzība pret troksni šeit ir vēl jo svarīgāka. Tomēr vietējo pārvaldes iestāžu noteikumi attiecībā uz trokšņu līmeni būvobjektos nav standartizēti. Lai neatkarīgi no tā optimizētu aizsardzību pret troksni iedzīvotājiem un būvdarbu veicējiem, </w:t>
      </w:r>
      <w:r>
        <w:rPr>
          <w:i/>
          <w:iCs/>
        </w:rPr>
        <w:t>Kleemann</w:t>
      </w:r>
      <w:r>
        <w:t xml:space="preserve"> jau agrāk ir veltījis daudz izstrādes darbu savu iekārtu emisiju samazināšanai.</w:t>
      </w:r>
    </w:p>
    <w:p w14:paraId="798249FC" w14:textId="12CE2A29" w:rsidR="000B7236" w:rsidRDefault="000B7236" w:rsidP="004B6E63">
      <w:pPr>
        <w:pStyle w:val="Standardabsatz"/>
      </w:pPr>
      <w:r>
        <w:t>Rezultātā pašreizējo iekārtu pamata versijas darbojas ar skaņas jaudas līmeni, kas ir līdz 6,2 dB zemāks nekā iepriekšējiem modeļiem - tādējādi uztveramais troksnis ir par 75 % zemāks. Tas ir nepārprotams uzlabojums ne tikai lietotājiem, bet arī iedzīvotājiem.</w:t>
      </w:r>
    </w:p>
    <w:p w14:paraId="4C1CE45E" w14:textId="77777777" w:rsidR="004B6E63" w:rsidRPr="00A51942" w:rsidRDefault="004B6E63" w:rsidP="004B6E63">
      <w:pPr>
        <w:pStyle w:val="Teaserhead"/>
      </w:pPr>
      <w:r>
        <w:rPr>
          <w:i/>
          <w:iCs/>
        </w:rPr>
        <w:t>Kleemann</w:t>
      </w:r>
      <w:r>
        <w:t xml:space="preserve"> risinājumi</w:t>
      </w:r>
    </w:p>
    <w:p w14:paraId="4C7D9D85" w14:textId="514E8613" w:rsidR="000B7236" w:rsidRDefault="000B7236" w:rsidP="004B6E63">
      <w:pPr>
        <w:pStyle w:val="Standardabsatz"/>
      </w:pPr>
      <w:r>
        <w:t xml:space="preserve">Jaunākās EVO2 paaudzes </w:t>
      </w:r>
      <w:r>
        <w:rPr>
          <w:i/>
          <w:iCs/>
        </w:rPr>
        <w:t>Kleemann</w:t>
      </w:r>
      <w:r>
        <w:t xml:space="preserve"> iekārtu standarta versijas jau darbojas ar 87/88 decibeliem (dB) operatora darba vietā. Papildu trokšņa aizsardzības komplekti samazina visas iekārtas skaņas jaudas līmeni vēl par 3 dB un atkal uz pusi samazina uztveramo trokšņa līmeni. Palīgs kategorizācijā: vidējā pneimatiskā urbjmašīna sasniedz aptuveni 120 dB, putekļu sūcējs - 70 dB.</w:t>
      </w:r>
    </w:p>
    <w:p w14:paraId="7EA50B99" w14:textId="4C7A79C4" w:rsidR="004B6E63" w:rsidRPr="00963C62" w:rsidRDefault="004B6E63" w:rsidP="004B6E63">
      <w:pPr>
        <w:pStyle w:val="Teaserhead"/>
      </w:pPr>
      <w:r>
        <w:t>Ilgtspēja sērijā</w:t>
      </w:r>
    </w:p>
    <w:p w14:paraId="7EF6EF88" w14:textId="2AA898C3" w:rsidR="000B7236" w:rsidRPr="004B6E63" w:rsidRDefault="000B7236" w:rsidP="004B6E63">
      <w:pPr>
        <w:pStyle w:val="Standardabsatz"/>
      </w:pPr>
      <w:r>
        <w:t>Tā kā ventilatora ātrums tiek regulēts atkarībā no slodzes, apkārtējās temperatūras un dzesētāja piesārņojuma pakāpes, pat mobilā žokļu tipa drupinātājam MOBICAT MC 110(i) EVO2 pamata konfigurācijā ir ļoti zems trokšņa līmenis. Izmantojot papildu komplektu aizsardzībai pret troksni, iekārtu var ekspluatēt bez trokšņus slāpējošām austiņām - atkarībā no apkārtējās vides apstākļiem un vietējiem noteikumiem. Pat bez komplekta aizsardzības pret troksni tieši pie mašīnas tiek fiksēti tikai 90 dB. Tiešā iekārtas tuvumā komplekts aizsardzībai pret troksni nodrošina aptuveni 85 dB.</w:t>
      </w:r>
    </w:p>
    <w:p w14:paraId="0312BAAC" w14:textId="62A7EA22" w:rsidR="009F4B7C" w:rsidRPr="00963C62" w:rsidRDefault="009F4B7C" w:rsidP="009F4B7C">
      <w:pPr>
        <w:pStyle w:val="Teaserhead"/>
      </w:pPr>
      <w:r>
        <w:t>Efektīva putekļu ierobežošana</w:t>
      </w:r>
    </w:p>
    <w:p w14:paraId="4000950A" w14:textId="71627513" w:rsidR="000B7236" w:rsidRPr="000B7236" w:rsidRDefault="009F4B7C" w:rsidP="00B2031A">
      <w:pPr>
        <w:pStyle w:val="Standardabsatz"/>
        <w:rPr>
          <w:rFonts w:cs="Helvetica"/>
        </w:rPr>
      </w:pPr>
      <w:r>
        <w:t xml:space="preserve">Ne tikai efektīva aizsardzība pret troksni, bet arī putekļu veidošanās ierobežošana ir izdevīga darbiniekiem, iedzīvotājiem un visai videi. Tādējādi tiek aizsargāts lietotājs un iedzīvotāji, un galu galā šādi pasākumi nodrošina arī lielāku būvobjektu pieņemšanu pilsētā. Uzņēmums </w:t>
      </w:r>
      <w:r>
        <w:rPr>
          <w:i/>
          <w:iCs/>
        </w:rPr>
        <w:t>Kleemann</w:t>
      </w:r>
      <w:r>
        <w:t xml:space="preserve">, izmantojot īpašu siksnas pārsegu un ūdens izsmidzināšanas koncepciju, ir attīstījis divus risinājumus, kas veicina putekļu samazināšanu. Ūdens sūkņu sistēmas var savienot ar pārdomāti novietoto ūdens </w:t>
      </w:r>
      <w:r>
        <w:lastRenderedPageBreak/>
        <w:t>smidzināšanas sistēmu, lai cita starpā varētu izmantot arī stāvošas ūdenstilpes vai tvertnes. Pārsegs nodrošina, ka smalkās putekļu daļiņas vairs netiek aizpūstas, bet gan paliek uz konveijera. Rezultātā ievērojami samazinās putekļu emisijas.</w:t>
      </w:r>
    </w:p>
    <w:p w14:paraId="31412CCB" w14:textId="14B581FD" w:rsidR="00E15EBE" w:rsidRPr="002B66AB" w:rsidRDefault="009F4B7C" w:rsidP="00E15EBE">
      <w:pPr>
        <w:pStyle w:val="Fotos"/>
      </w:pPr>
      <w:r>
        <w:t>ATTĒLI:</w:t>
      </w:r>
    </w:p>
    <w:p w14:paraId="20879CE4" w14:textId="7168CB06" w:rsidR="002611FE" w:rsidRPr="002B66AB" w:rsidRDefault="00A46F1E" w:rsidP="002611FE">
      <w:pPr>
        <w:pStyle w:val="BUbold"/>
      </w:pPr>
      <w:r>
        <w:rPr>
          <w:noProof/>
        </w:rPr>
        <w:drawing>
          <wp:inline distT="0" distB="0" distL="0" distR="0" wp14:anchorId="1B66E54E" wp14:editId="41AC55F0">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br/>
        <w:t>KL_0001</w:t>
      </w:r>
    </w:p>
    <w:p w14:paraId="0E27B995" w14:textId="553D6B4A" w:rsidR="004A3D6B" w:rsidRPr="002B66AB" w:rsidRDefault="004A3D6B" w:rsidP="004A3D6B">
      <w:pPr>
        <w:pStyle w:val="BUnormal"/>
      </w:pPr>
      <w:r>
        <w:rPr>
          <w:i/>
          <w:iCs/>
        </w:rPr>
        <w:t>Kleemann</w:t>
      </w:r>
      <w:r>
        <w:t xml:space="preserve"> iekārtas -  mazāk trokšņa un putekļu, kas nodrošina lielāku ilgtspējību.</w:t>
      </w:r>
    </w:p>
    <w:p w14:paraId="33BE5363" w14:textId="5DEB8F48" w:rsidR="004A3D6B" w:rsidRPr="002B66AB" w:rsidRDefault="00195810" w:rsidP="004A3D6B">
      <w:pPr>
        <w:pStyle w:val="BUbold"/>
      </w:pPr>
      <w:r>
        <w:rPr>
          <w:noProof/>
        </w:rPr>
        <w:drawing>
          <wp:inline distT="0" distB="0" distL="0" distR="0" wp14:anchorId="30E4A96E" wp14:editId="6FB47115">
            <wp:extent cx="2404745" cy="2030297"/>
            <wp:effectExtent l="0" t="0" r="0" b="1905"/>
            <wp:docPr id="69404588" name="Grafik 1" descr="Ein Bild, das Gelände, draußen, Rad,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04588" name="Grafik 1" descr="Ein Bild, das Gelände, draußen, Rad, Landfahrzeug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31760" cy="2053105"/>
                    </a:xfrm>
                    <a:prstGeom prst="rect">
                      <a:avLst/>
                    </a:prstGeom>
                  </pic:spPr>
                </pic:pic>
              </a:graphicData>
            </a:graphic>
          </wp:inline>
        </w:drawing>
      </w:r>
      <w:r>
        <w:t xml:space="preserve"> </w:t>
      </w:r>
    </w:p>
    <w:p w14:paraId="4646371B" w14:textId="1DA31446" w:rsidR="004A3D6B" w:rsidRPr="002B66AB" w:rsidRDefault="004A3D6B" w:rsidP="004A3D6B">
      <w:pPr>
        <w:pStyle w:val="BUbold"/>
      </w:pPr>
      <w:r>
        <w:t>KL_0002</w:t>
      </w:r>
    </w:p>
    <w:p w14:paraId="2EB420DF" w14:textId="3049D724" w:rsidR="005148E4" w:rsidRPr="002B66AB" w:rsidRDefault="004A3D6B" w:rsidP="00312FB9">
      <w:pPr>
        <w:pStyle w:val="BUnormal"/>
        <w:rPr>
          <w:rFonts w:eastAsia="Times New Roman" w:cs="Times New Roman"/>
        </w:rPr>
      </w:pPr>
      <w:r>
        <w:rPr>
          <w:i/>
          <w:iCs/>
        </w:rPr>
        <w:t>Kleemann</w:t>
      </w:r>
      <w:r>
        <w:t xml:space="preserve"> iekārtas ar ūdens smidzināšanas sistēmu dažādās pozīcijās.</w:t>
      </w:r>
    </w:p>
    <w:p w14:paraId="7C475B60" w14:textId="77777777" w:rsidR="005148E4" w:rsidRPr="002B66AB" w:rsidRDefault="005148E4" w:rsidP="005148E4">
      <w:pPr>
        <w:pStyle w:val="BUbold"/>
      </w:pPr>
      <w:r>
        <w:rPr>
          <w:noProof/>
        </w:rPr>
        <w:drawing>
          <wp:inline distT="0" distB="0" distL="0" distR="0" wp14:anchorId="67E99D6E" wp14:editId="580BE387">
            <wp:extent cx="2404800" cy="1351447"/>
            <wp:effectExtent l="0" t="0" r="0" b="0"/>
            <wp:docPr id="2036843146" name="Grafik 2036843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843146" name="Grafik 203684314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447"/>
                    </a:xfrm>
                    <a:prstGeom prst="rect">
                      <a:avLst/>
                    </a:prstGeom>
                    <a:noFill/>
                    <a:ln>
                      <a:noFill/>
                    </a:ln>
                  </pic:spPr>
                </pic:pic>
              </a:graphicData>
            </a:graphic>
          </wp:inline>
        </w:drawing>
      </w:r>
      <w:r>
        <w:t xml:space="preserve"> </w:t>
      </w:r>
    </w:p>
    <w:p w14:paraId="7D3CFAB0" w14:textId="2BC7BC91" w:rsidR="005148E4" w:rsidRPr="002B66AB" w:rsidRDefault="005148E4" w:rsidP="005148E4">
      <w:pPr>
        <w:pStyle w:val="BUbold"/>
      </w:pPr>
      <w:r>
        <w:t>KL_0003</w:t>
      </w:r>
    </w:p>
    <w:p w14:paraId="6787C294" w14:textId="1CADF1B9" w:rsidR="004A3D6B" w:rsidRPr="009F4B7C" w:rsidRDefault="009F4B7C" w:rsidP="009F4B7C">
      <w:pPr>
        <w:pStyle w:val="BUnormal"/>
        <w:rPr>
          <w:rFonts w:cs="Helvetica"/>
        </w:rPr>
      </w:pPr>
      <w:r>
        <w:t>Īpaši siksnu pārsegi garantē efektīvu putekļu samazināšanu.</w:t>
      </w:r>
    </w:p>
    <w:p w14:paraId="29E92010" w14:textId="3BC37972" w:rsidR="00BD25D1" w:rsidRPr="002B66AB" w:rsidRDefault="004A3D6B" w:rsidP="00BD25D1">
      <w:pPr>
        <w:pStyle w:val="BUbold"/>
      </w:pPr>
      <w:r>
        <w:rPr>
          <w:noProof/>
        </w:rPr>
        <w:lastRenderedPageBreak/>
        <w:drawing>
          <wp:inline distT="0" distB="0" distL="0" distR="0" wp14:anchorId="1DEF2C85" wp14:editId="20CAC062">
            <wp:extent cx="2404800" cy="1700554"/>
            <wp:effectExtent l="0" t="0" r="0" b="1270"/>
            <wp:docPr id="10837901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9010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700554"/>
                    </a:xfrm>
                    <a:prstGeom prst="rect">
                      <a:avLst/>
                    </a:prstGeom>
                  </pic:spPr>
                </pic:pic>
              </a:graphicData>
            </a:graphic>
          </wp:inline>
        </w:drawing>
      </w:r>
      <w:r>
        <w:br/>
        <w:t>KL_0004</w:t>
      </w:r>
    </w:p>
    <w:p w14:paraId="320F3E80" w14:textId="1C48E6B4" w:rsidR="005148E4" w:rsidRPr="00BB13FD" w:rsidRDefault="009F4B7C" w:rsidP="005148E4">
      <w:pPr>
        <w:pStyle w:val="BUnormal"/>
      </w:pPr>
      <w:r>
        <w:t>Koncepcija aizsardzībai pret trokšņiem MOBICAT MC 110(i) EVO2 - pat bez trokšņa aizsardzības komplekta tieši pie mašīnas tiek fiksēti tikai 90 dB. Tiešā iekārtas tuvumā trokšņa aizsardzības komplekts nodrošina aptuveni 85 dB.</w:t>
      </w:r>
      <w:r>
        <w:rPr>
          <w:shd w:val="clear" w:color="auto" w:fill="FFFFFF"/>
        </w:rPr>
        <w:br/>
      </w:r>
    </w:p>
    <w:p w14:paraId="489915D0" w14:textId="756DF06D" w:rsidR="005148E4" w:rsidRPr="00125F12" w:rsidRDefault="00312FB9" w:rsidP="00125F12">
      <w:pPr>
        <w:pStyle w:val="Note"/>
      </w:pPr>
      <w:r>
        <w:t xml:space="preserve">Lūdzu, ņemiet vērā: šeit redzamās fotogrāfijas ir tikai priekšskatījumi. Ja vēlaties tās publicēt citos medijos, lūdzu, lejupielādējiet augstākas izšķirtspējas (300 dpi) versijas no </w:t>
      </w:r>
      <w:r>
        <w:rPr>
          <w:iCs/>
        </w:rPr>
        <w:t>“Wirtgen Group”</w:t>
      </w:r>
      <w:r>
        <w:t xml:space="preserve"> tīmekļa vietnēm.</w:t>
      </w:r>
    </w:p>
    <w:p w14:paraId="439997F2" w14:textId="77777777" w:rsidR="00312FB9" w:rsidRPr="005A314F" w:rsidRDefault="00312FB9" w:rsidP="00312FB9">
      <w:pPr>
        <w:pStyle w:val="Absatzberschrift"/>
        <w:rPr>
          <w:iCs/>
        </w:rPr>
      </w:pPr>
      <w:r>
        <w:t>Papildu informācijas iegūšanai, lūdzu, sazinieties ar:</w:t>
      </w:r>
    </w:p>
    <w:p w14:paraId="7666F1C8" w14:textId="77777777" w:rsidR="00312FB9" w:rsidRPr="005A314F" w:rsidRDefault="00312FB9" w:rsidP="00312FB9">
      <w:pPr>
        <w:pStyle w:val="Absatzberschrift"/>
        <w:rPr>
          <w:lang w:val="en-US"/>
        </w:rPr>
      </w:pPr>
    </w:p>
    <w:p w14:paraId="665681CF" w14:textId="77777777" w:rsidR="00312FB9" w:rsidRPr="00705CC9" w:rsidRDefault="00312FB9" w:rsidP="00312FB9">
      <w:pPr>
        <w:pStyle w:val="Absatzberschrift"/>
        <w:rPr>
          <w:b w:val="0"/>
          <w:bCs/>
          <w:szCs w:val="22"/>
        </w:rPr>
      </w:pPr>
      <w:r>
        <w:rPr>
          <w:b w:val="0"/>
        </w:rPr>
        <w:t>WIRTGEN GROUP</w:t>
      </w:r>
    </w:p>
    <w:p w14:paraId="1FBEE1A8" w14:textId="77777777" w:rsidR="00312FB9" w:rsidRPr="00705CC9" w:rsidRDefault="00312FB9" w:rsidP="00312FB9">
      <w:pPr>
        <w:pStyle w:val="Fuzeile1"/>
      </w:pPr>
      <w:r>
        <w:t>Sabiedrisko attiecību departaments</w:t>
      </w:r>
    </w:p>
    <w:p w14:paraId="78E39C61" w14:textId="77777777" w:rsidR="00312FB9" w:rsidRPr="00705CC9" w:rsidRDefault="00312FB9" w:rsidP="00312FB9">
      <w:pPr>
        <w:pStyle w:val="Fuzeile1"/>
      </w:pPr>
      <w:r>
        <w:t>Reinhard-Wirtgen-Strasse 2</w:t>
      </w:r>
    </w:p>
    <w:p w14:paraId="4EF337D6" w14:textId="77777777" w:rsidR="00312FB9" w:rsidRPr="005A314F" w:rsidRDefault="00312FB9" w:rsidP="00312FB9">
      <w:pPr>
        <w:pStyle w:val="Fuzeile1"/>
      </w:pPr>
      <w:r>
        <w:t>53578 Vindhāgena</w:t>
      </w:r>
    </w:p>
    <w:p w14:paraId="63B1FDA8" w14:textId="77777777" w:rsidR="00312FB9" w:rsidRPr="005A314F" w:rsidRDefault="00312FB9" w:rsidP="00312FB9">
      <w:pPr>
        <w:pStyle w:val="Fuzeile1"/>
      </w:pPr>
      <w:r>
        <w:t>Vācija</w:t>
      </w:r>
    </w:p>
    <w:p w14:paraId="3E5D0BF8" w14:textId="77777777" w:rsidR="00312FB9" w:rsidRPr="005A314F" w:rsidRDefault="00312FB9" w:rsidP="00312FB9">
      <w:pPr>
        <w:pStyle w:val="Fuzeile1"/>
        <w:rPr>
          <w:lang w:val="en-US"/>
        </w:rPr>
      </w:pPr>
    </w:p>
    <w:p w14:paraId="12A0FF30" w14:textId="77777777" w:rsidR="00312FB9" w:rsidRPr="005A314F" w:rsidRDefault="00312FB9" w:rsidP="00312FB9">
      <w:pPr>
        <w:pStyle w:val="Fuzeile1"/>
        <w:rPr>
          <w:rFonts w:ascii="Times New Roman" w:hAnsi="Times New Roman" w:cs="Times New Roman"/>
          <w:color w:val="FF0000"/>
        </w:rPr>
      </w:pPr>
      <w:r>
        <w:t xml:space="preserve">Tālrunis: +49 (0)2645 131 0 </w:t>
      </w:r>
    </w:p>
    <w:p w14:paraId="456AA2F6" w14:textId="77777777" w:rsidR="00312FB9" w:rsidRPr="005A314F" w:rsidRDefault="00312FB9" w:rsidP="00312FB9">
      <w:pPr>
        <w:pStyle w:val="Fuzeile1"/>
      </w:pPr>
      <w:r>
        <w:t>Fakss: +49 (0)2645 131 499</w:t>
      </w:r>
    </w:p>
    <w:p w14:paraId="26FA9EFF" w14:textId="2D15E885" w:rsidR="00312FB9" w:rsidRPr="005A314F" w:rsidRDefault="00312FB9" w:rsidP="00312FB9">
      <w:pPr>
        <w:pStyle w:val="Fuzeile1"/>
      </w:pPr>
      <w:r>
        <w:t>E-pasts: PR@wirtgen-group.com</w:t>
      </w:r>
    </w:p>
    <w:p w14:paraId="77B25820" w14:textId="77777777" w:rsidR="00312FB9" w:rsidRPr="00600ADD" w:rsidRDefault="00312FB9" w:rsidP="00312FB9">
      <w:pPr>
        <w:pStyle w:val="Fuzeile1"/>
        <w:rPr>
          <w:vanish/>
          <w:lang w:val="en-US"/>
        </w:rPr>
      </w:pPr>
    </w:p>
    <w:p w14:paraId="0FEBCC5F" w14:textId="77777777" w:rsidR="00312FB9" w:rsidRPr="00F74540" w:rsidRDefault="00312FB9" w:rsidP="00312FB9">
      <w:pPr>
        <w:pStyle w:val="Fuzeile1"/>
      </w:pPr>
      <w:r>
        <w:t>www.wirtgen-group.com</w:t>
      </w:r>
    </w:p>
    <w:p w14:paraId="3D604A55" w14:textId="2DB6DC2F"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5263B" w14:textId="77777777" w:rsidR="00677D72" w:rsidRDefault="00677D72" w:rsidP="00E55534">
      <w:r>
        <w:separator/>
      </w:r>
    </w:p>
  </w:endnote>
  <w:endnote w:type="continuationSeparator" w:id="0">
    <w:p w14:paraId="1AC849C1" w14:textId="77777777" w:rsidR="00677D72" w:rsidRDefault="00677D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D-53578 Vindhāgena· T: +49 26 45 /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0158" w14:textId="77777777" w:rsidR="00677D72" w:rsidRDefault="00677D72" w:rsidP="00E55534">
      <w:r>
        <w:separator/>
      </w:r>
    </w:p>
  </w:footnote>
  <w:footnote w:type="continuationSeparator" w:id="0">
    <w:p w14:paraId="1B216EB4" w14:textId="77777777" w:rsidR="00677D72" w:rsidRDefault="00677D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D9722B3" w:rsidR="005101B4" w:rsidRDefault="0005114D">
    <w:pPr>
      <w:pStyle w:val="Header"/>
    </w:pPr>
    <w:r>
      <w:rPr>
        <w:noProof/>
      </w:rPr>
      <mc:AlternateContent>
        <mc:Choice Requires="wps">
          <w:drawing>
            <wp:anchor distT="0" distB="0" distL="0" distR="0" simplePos="0" relativeHeight="251662336" behindDoc="0" locked="0" layoutInCell="1" allowOverlap="1" wp14:anchorId="2A1B1674" wp14:editId="44598A96">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F9C04E" w14:textId="73536226" w:rsidR="0005114D" w:rsidRPr="0005114D" w:rsidRDefault="0005114D">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A1B1674"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67F9C04E" w14:textId="73536226" w:rsidR="0005114D" w:rsidRPr="0005114D" w:rsidRDefault="0005114D">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31D113" w:rsidR="00533132" w:rsidRPr="00533132" w:rsidRDefault="0005114D" w:rsidP="00533132">
    <w:pPr>
      <w:pStyle w:val="Header"/>
    </w:pPr>
    <w:r>
      <w:rPr>
        <w:noProof/>
      </w:rPr>
      <mc:AlternateContent>
        <mc:Choice Requires="wps">
          <w:drawing>
            <wp:anchor distT="0" distB="0" distL="0" distR="0" simplePos="0" relativeHeight="251663360" behindDoc="0" locked="0" layoutInCell="1" allowOverlap="1" wp14:anchorId="422EBC70" wp14:editId="3C66D690">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7F6AEC" w14:textId="6B359BC0" w:rsidR="0005114D" w:rsidRPr="0005114D" w:rsidRDefault="0005114D">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22EBC7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187F6AEC" w14:textId="6B359BC0" w:rsidR="0005114D" w:rsidRPr="0005114D" w:rsidRDefault="0005114D">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FE49DBF" w:rsidR="00533132" w:rsidRDefault="0005114D">
    <w:pPr>
      <w:pStyle w:val="Header"/>
    </w:pPr>
    <w:r>
      <w:rPr>
        <w:noProof/>
      </w:rPr>
      <mc:AlternateContent>
        <mc:Choice Requires="wps">
          <w:drawing>
            <wp:anchor distT="0" distB="0" distL="0" distR="0" simplePos="0" relativeHeight="251661312" behindDoc="0" locked="0" layoutInCell="1" allowOverlap="1" wp14:anchorId="20845E1D" wp14:editId="664B5DEC">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B63F1D" w14:textId="56A01500" w:rsidR="0005114D" w:rsidRPr="0005114D" w:rsidRDefault="0005114D">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845E1D"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5CB63F1D" w14:textId="56A01500" w:rsidR="0005114D" w:rsidRPr="0005114D" w:rsidRDefault="0005114D">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114D"/>
    <w:rsid w:val="0005285B"/>
    <w:rsid w:val="00055529"/>
    <w:rsid w:val="00062C3A"/>
    <w:rsid w:val="00062DA2"/>
    <w:rsid w:val="00066D09"/>
    <w:rsid w:val="0009665C"/>
    <w:rsid w:val="000A0479"/>
    <w:rsid w:val="000A36D9"/>
    <w:rsid w:val="000A4C7D"/>
    <w:rsid w:val="000B582B"/>
    <w:rsid w:val="000B7236"/>
    <w:rsid w:val="000D15C3"/>
    <w:rsid w:val="000E24F8"/>
    <w:rsid w:val="000E5738"/>
    <w:rsid w:val="00103205"/>
    <w:rsid w:val="00107EEE"/>
    <w:rsid w:val="0011795C"/>
    <w:rsid w:val="0012026F"/>
    <w:rsid w:val="00125F12"/>
    <w:rsid w:val="00130601"/>
    <w:rsid w:val="00132055"/>
    <w:rsid w:val="00146C3D"/>
    <w:rsid w:val="00153B47"/>
    <w:rsid w:val="001613A6"/>
    <w:rsid w:val="001614F0"/>
    <w:rsid w:val="001616F4"/>
    <w:rsid w:val="0018021A"/>
    <w:rsid w:val="00194FB1"/>
    <w:rsid w:val="00195810"/>
    <w:rsid w:val="001B16BB"/>
    <w:rsid w:val="001B34EE"/>
    <w:rsid w:val="001C1A3E"/>
    <w:rsid w:val="00200355"/>
    <w:rsid w:val="0021351D"/>
    <w:rsid w:val="00253A2E"/>
    <w:rsid w:val="002603EC"/>
    <w:rsid w:val="002611FE"/>
    <w:rsid w:val="00282AFC"/>
    <w:rsid w:val="00286C15"/>
    <w:rsid w:val="0028784A"/>
    <w:rsid w:val="0029634D"/>
    <w:rsid w:val="002B66AB"/>
    <w:rsid w:val="002C7542"/>
    <w:rsid w:val="002D065C"/>
    <w:rsid w:val="002D0780"/>
    <w:rsid w:val="002D2EE5"/>
    <w:rsid w:val="002D63E6"/>
    <w:rsid w:val="002E765F"/>
    <w:rsid w:val="002E7E4E"/>
    <w:rsid w:val="002F108B"/>
    <w:rsid w:val="002F5818"/>
    <w:rsid w:val="002F70FD"/>
    <w:rsid w:val="0030316D"/>
    <w:rsid w:val="00312FB9"/>
    <w:rsid w:val="00322069"/>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3D6B"/>
    <w:rsid w:val="004A463B"/>
    <w:rsid w:val="004B6E63"/>
    <w:rsid w:val="004C1967"/>
    <w:rsid w:val="004D23D0"/>
    <w:rsid w:val="004D2BE0"/>
    <w:rsid w:val="004E6EF5"/>
    <w:rsid w:val="00506409"/>
    <w:rsid w:val="005101B4"/>
    <w:rsid w:val="005148E4"/>
    <w:rsid w:val="00516100"/>
    <w:rsid w:val="00530E32"/>
    <w:rsid w:val="00533132"/>
    <w:rsid w:val="00534639"/>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E7FE9"/>
    <w:rsid w:val="00600ADD"/>
    <w:rsid w:val="006063D4"/>
    <w:rsid w:val="00623B37"/>
    <w:rsid w:val="006330A2"/>
    <w:rsid w:val="00642EB6"/>
    <w:rsid w:val="006433E2"/>
    <w:rsid w:val="00651E5D"/>
    <w:rsid w:val="00677D72"/>
    <w:rsid w:val="00677F11"/>
    <w:rsid w:val="00682B1A"/>
    <w:rsid w:val="00690D7C"/>
    <w:rsid w:val="00690DFE"/>
    <w:rsid w:val="006B3EEC"/>
    <w:rsid w:val="006C0C87"/>
    <w:rsid w:val="006D0699"/>
    <w:rsid w:val="006D6CC6"/>
    <w:rsid w:val="006D7EAC"/>
    <w:rsid w:val="006E0104"/>
    <w:rsid w:val="006F7602"/>
    <w:rsid w:val="00722A17"/>
    <w:rsid w:val="00723F4F"/>
    <w:rsid w:val="00731B48"/>
    <w:rsid w:val="0073345E"/>
    <w:rsid w:val="0075487B"/>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11176"/>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5B18"/>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0184"/>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4029"/>
    <w:rsid w:val="009F4B7C"/>
    <w:rsid w:val="009F715C"/>
    <w:rsid w:val="00A0216C"/>
    <w:rsid w:val="00A02F49"/>
    <w:rsid w:val="00A171F4"/>
    <w:rsid w:val="00A1772D"/>
    <w:rsid w:val="00A177B2"/>
    <w:rsid w:val="00A24EFC"/>
    <w:rsid w:val="00A27829"/>
    <w:rsid w:val="00A46F1E"/>
    <w:rsid w:val="00A66B3F"/>
    <w:rsid w:val="00A82395"/>
    <w:rsid w:val="00A9295C"/>
    <w:rsid w:val="00A961A3"/>
    <w:rsid w:val="00A977CE"/>
    <w:rsid w:val="00AA0DF7"/>
    <w:rsid w:val="00AA2AF9"/>
    <w:rsid w:val="00AB52F9"/>
    <w:rsid w:val="00AD131F"/>
    <w:rsid w:val="00AD32D5"/>
    <w:rsid w:val="00AD70E4"/>
    <w:rsid w:val="00AF3B3A"/>
    <w:rsid w:val="00AF4E8E"/>
    <w:rsid w:val="00AF6569"/>
    <w:rsid w:val="00B06265"/>
    <w:rsid w:val="00B2031A"/>
    <w:rsid w:val="00B5232A"/>
    <w:rsid w:val="00B60ED1"/>
    <w:rsid w:val="00B62CF5"/>
    <w:rsid w:val="00B72FCB"/>
    <w:rsid w:val="00B85705"/>
    <w:rsid w:val="00B874DC"/>
    <w:rsid w:val="00B90F78"/>
    <w:rsid w:val="00BA690E"/>
    <w:rsid w:val="00BB13FD"/>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57BAA"/>
    <w:rsid w:val="00F67C95"/>
    <w:rsid w:val="00F74540"/>
    <w:rsid w:val="00F75B79"/>
    <w:rsid w:val="00F82525"/>
    <w:rsid w:val="00F911CB"/>
    <w:rsid w:val="00F91AC4"/>
    <w:rsid w:val="00F97FEA"/>
    <w:rsid w:val="00FB60E1"/>
    <w:rsid w:val="00FD3768"/>
    <w:rsid w:val="00FD51E9"/>
    <w:rsid w:val="00FD6D0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29</TotalTime>
  <Pages>3</Pages>
  <Words>2565</Words>
  <Characters>1463</Characters>
  <Application>Microsoft Office Word</Application>
  <DocSecurity>0</DocSecurity>
  <Lines>12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2023-05-28T15:58:00Z</cp:lastPrinted>
  <dcterms:created xsi:type="dcterms:W3CDTF">2023-09-26T08:33:00Z</dcterms:created>
  <dcterms:modified xsi:type="dcterms:W3CDTF">2023-09-26T08:33:00Z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2023-06-16T09:55:35Z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d148568b-c0b2-44c3-9835-65fd1c0e6c8d</vt:lpwstr>
  </property>
  <property fmtid="{D5CDD505-2E9C-101B-9397-08002B2CF9AE}" pid="11" name="MSIP_Label_df1a195f-122b-42dc-a2d3-71a1903dcdac_ContentBits">
    <vt:lpwstr>1</vt:lpwstr>
  </property>
</Properties>
</file>