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tr"/>
        </w:rPr>
        <w:t>Kleemann │ Kaba parça elekleri ve sınıflandırma elekleri Temeller ve farklılıklar</w:t>
      </w:r>
    </w:p>
    <w:p w14:paraId="42270004" w14:textId="1D7A8D5E" w:rsidR="007F2EBD" w:rsidRPr="00031272" w:rsidRDefault="00A1349A" w:rsidP="007F2EBD">
      <w:pPr>
        <w:pStyle w:val="Subhead"/>
      </w:pPr>
      <w:r>
        <w:rPr>
          <w:bCs/>
          <w:iCs w:val="0"/>
          <w:lang w:val="tr"/>
        </w:rPr>
        <w:t>Mobil elek tesisleri zincirlenmiş ve bağımsız uygulamalarda güçlü yönlerini gösteriyorlar</w:t>
      </w:r>
    </w:p>
    <w:p w14:paraId="6D386F65" w14:textId="0C1C1D77" w:rsidR="007F2EBD" w:rsidRPr="00A1349A" w:rsidRDefault="00A1349A" w:rsidP="007F2EBD">
      <w:pPr>
        <w:pStyle w:val="Teaser"/>
      </w:pPr>
      <w:r>
        <w:rPr>
          <w:bCs/>
          <w:lang w:val="tr"/>
        </w:rPr>
        <w:t xml:space="preserve">Doğal taş ve geri dönüşüm malzemelerinin mobil işlemesinde kırma tesisleri uzun süre odak noktası olmuştur. Bunlar belirli sınırlar içinde etkilenebilir agrega tanecikleri üretirler, ancak elek tesisleri tarafından sınıflandırılmadıkları için sadece belirli koşullarda satılabilir. Buna karşın, elek tesisleri malzemeleri birden fazla bitmiş ürüne ayırabilir ve kaliteli bitmiş ürünler üretebilir. Bu sırada bu tesisler kırma tesisleri ile birlikte kullanılmak zorunda değildir, bağımsız uygulamalarda da güçlü yönlerini gösteriyorlar. Elek tesisleri iki gruba ayrılır: Kaba parça elekleri ve sınıflandırma elekleri. </w:t>
      </w:r>
    </w:p>
    <w:p w14:paraId="29165CA5" w14:textId="6140DA47" w:rsidR="007F2EBD" w:rsidRPr="00C544B5" w:rsidRDefault="00C544B5" w:rsidP="007F2EBD">
      <w:pPr>
        <w:pStyle w:val="Absatzberschrift"/>
        <w:rPr>
          <w:bCs/>
        </w:rPr>
      </w:pPr>
      <w:r>
        <w:rPr>
          <w:bCs/>
          <w:lang w:val="tr"/>
        </w:rPr>
        <w:t>Kaba parçalar için elek tesisleri - hazırlayıcılar</w:t>
      </w:r>
    </w:p>
    <w:p w14:paraId="59ECEF98" w14:textId="6DB0EBC9" w:rsidR="007F2EBD" w:rsidRDefault="00C544B5" w:rsidP="00C84C89">
      <w:pPr>
        <w:pStyle w:val="Standardabsatz"/>
        <w:spacing w:after="0"/>
      </w:pPr>
      <w:r>
        <w:rPr>
          <w:lang w:val="tr"/>
        </w:rPr>
        <w:t xml:space="preserve">Kaba elek tesislerinin, genellikle Scalper veya ağır yük elekleri olarak da adlandırılan, temel görevi, malzemeyi ilk kırma aşamasından önce ayırmaktır. Adından da anlaşılacağı üzere: Tesisler, kaba ve masif malzemeler ile besleme için tasarlanmıştır. Malzeme, besleme hunisinden hemen üst elek kapağına ulaşır. Fazla tanecikler, doğrudan malzeme akış yönünde elek kapağından ana boşaltma bandına ulaşır. Böylece kaba parçalar için elek tesisleri masif parçalarla da baş edebilir. </w:t>
      </w:r>
    </w:p>
    <w:p w14:paraId="1FC719FD" w14:textId="77777777" w:rsidR="00C544B5" w:rsidRPr="00C544B5" w:rsidRDefault="00C544B5" w:rsidP="00C84C89">
      <w:pPr>
        <w:pStyle w:val="Standardabsatz"/>
        <w:spacing w:after="0"/>
      </w:pPr>
      <w:r>
        <w:rPr>
          <w:lang w:val="tr"/>
        </w:rPr>
        <w:t>Tesislerin beslemesi çoğunlukla tekerlekli yükleyici ile yandan veya arkadan yapılır. İsteğe bağlı olarak temin edilebilen huni doldurma yardımcıları birbirinden bağımsız olarak katlanabilir ve daha geniş kepçelerle arkadan yükleme yapılmasını mümkün kılar veya yandan besleme sırasında karşı taraftaki huninin üzerine dökülmeyi önler.</w:t>
      </w:r>
    </w:p>
    <w:p w14:paraId="343CB3E3" w14:textId="7761279C" w:rsidR="00C544B5" w:rsidRPr="00C544B5" w:rsidRDefault="00C544B5" w:rsidP="00C544B5">
      <w:pPr>
        <w:pStyle w:val="Standardabsatz"/>
      </w:pPr>
      <w:r>
        <w:rPr>
          <w:lang w:val="tr"/>
        </w:rPr>
        <w:t xml:space="preserve">Esnek kaba parçalar için elek tesisleri, bir birleştirilmiş tesiste sınıflandırma eleği olarak da kullanılabilir ve kırılmış agregadan üç fraksiyona kadar eleme yapabilir. Bunun için, Kleemann kaba elek tesislerinin huni arka duvarı en az iki yükseklikte, MOBISCREEN MSS 802 EVO durumunda ise üç yükseklikte katlanabilir olmalıdır. Bu, önceden takılı bir kırıcının besleme yüksekliği düşük olsa bile optimum malzeme aktarımı sağlar. </w:t>
      </w:r>
    </w:p>
    <w:p w14:paraId="563E7A8C" w14:textId="77777777" w:rsidR="00C544B5" w:rsidRPr="00610E76" w:rsidRDefault="00C544B5" w:rsidP="00C544B5">
      <w:pPr>
        <w:pStyle w:val="Absatzberschrift"/>
        <w:rPr>
          <w:b w:val="0"/>
          <w:i/>
          <w:iCs/>
        </w:rPr>
      </w:pPr>
      <w:r>
        <w:rPr>
          <w:b w:val="0"/>
          <w:i/>
          <w:iCs/>
          <w:lang w:val="tr"/>
        </w:rPr>
        <w:t>Özel kullanımlarda: Daha iyi dayanım için donanım</w:t>
      </w:r>
    </w:p>
    <w:p w14:paraId="74E56006" w14:textId="7491BB83" w:rsidR="00C544B5" w:rsidRPr="00C544B5" w:rsidRDefault="00C544B5" w:rsidP="007F2EBD">
      <w:pPr>
        <w:pStyle w:val="Standardabsatz"/>
      </w:pPr>
      <w:r>
        <w:rPr>
          <w:lang w:val="tr"/>
        </w:rPr>
        <w:t>Kleemann kaba malzeme eleme tesislerinde standart olarak kullanılan besleme bandının taşıma kayışı belirli koşullar altında sınırlarına ulaşabilir. Böylece çok kaba, keskin kenarlı besleme malzemeleri, örneğin taşıma bandına hasar verebilir. Düz, kil ile yapışmış agregalarda, yine düz kayış, özellikle çok nemli olduğunda besleme malzemesinin altından kayabilir. Bu tür komplikasyonları önlemek için, kaba parçalar için elek tesisleri sağlam bir plaka konveyör ile donatılabilir. Ayrıca, besleme ve boşaltma tarafında elek kutusuna malzeme frenleri ve/veya zincir perdeleri monte edilebilir. Bu, kaba agregaların frenlenmeden ana boşaltma bandına çarpmasını ve böylece bandın hasar görmesini veya taşıma kayışının ömrünü kısaltmasını önler.</w:t>
      </w:r>
    </w:p>
    <w:p w14:paraId="71B08943" w14:textId="6C9DF014" w:rsidR="007F2EBD" w:rsidRPr="00C544B5" w:rsidRDefault="00C544B5" w:rsidP="007F2EBD">
      <w:pPr>
        <w:pStyle w:val="Absatzberschrift"/>
        <w:rPr>
          <w:bCs/>
        </w:rPr>
      </w:pPr>
      <w:r>
        <w:rPr>
          <w:bCs/>
          <w:lang w:val="tr"/>
        </w:rPr>
        <w:t>Sınıflandırma eleği tesisleri – ayrıntılı çalışanlar için</w:t>
      </w:r>
    </w:p>
    <w:p w14:paraId="1C8EB086" w14:textId="106D3620" w:rsidR="007F2EBD" w:rsidRDefault="00EC0467" w:rsidP="00C84C89">
      <w:pPr>
        <w:pStyle w:val="Standardabsatz"/>
        <w:spacing w:after="0"/>
      </w:pPr>
      <w:r>
        <w:rPr>
          <w:lang w:val="tr"/>
        </w:rPr>
        <w:t xml:space="preserve">Yüksek kaliteli bitmiş ürünler veya önemli ara ürünlerin uzmanı, sınıflandırma elek tesisidir. Burada küçük parçalı, çoğunlukla önceden kırılmış malzemeler işlenir. Sınıflandırma elekleri, çok aşamalı kırma ve eleme işlemlerinde vazgeçilmezdir, ancak aynı şekilde sıklıkla tekli makine olarak da kullanılır. </w:t>
      </w:r>
    </w:p>
    <w:p w14:paraId="70F8A76B" w14:textId="51CD3414" w:rsidR="00C544B5" w:rsidRPr="00C544B5" w:rsidRDefault="00C544B5" w:rsidP="007F2EBD">
      <w:pPr>
        <w:pStyle w:val="Standardabsatz"/>
      </w:pPr>
      <w:r>
        <w:rPr>
          <w:lang w:val="tr"/>
        </w:rPr>
        <w:lastRenderedPageBreak/>
        <w:t>Kleemann‘dan MOBISCREEN MSC EVO serisinin sınıflandırma elekleri çok büyük kapasiteli besleme hunilerine sahiptir. Burada yükleme, tekerlekli yükleyici, ekskavatör veya önceden yerleştirilmiş kırma veya elek tesisi ile yapılır. Açılan huni genişliği, burada düzgün bir malzeme akışı sağlar. Sınıflandırma elekleri genellikle daha ince malzemelerle beslendiğinden, kaba parçalar için elek tesislerine kıyasla çarpma veya aşınma koruması daha az kapsamlıdır.</w:t>
      </w:r>
    </w:p>
    <w:p w14:paraId="6CEA441E" w14:textId="25D40CFC" w:rsidR="00C544B5" w:rsidRPr="00C544B5" w:rsidRDefault="00C544B5" w:rsidP="00C544B5">
      <w:pPr>
        <w:pStyle w:val="Absatzberschrift"/>
        <w:contextualSpacing w:val="0"/>
        <w:rPr>
          <w:bCs/>
        </w:rPr>
      </w:pPr>
      <w:r>
        <w:rPr>
          <w:bCs/>
          <w:lang w:val="tr"/>
        </w:rPr>
        <w:t xml:space="preserve">Malzeme akışı önemlidir </w:t>
      </w:r>
    </w:p>
    <w:p w14:paraId="724421F0" w14:textId="4F5A743D" w:rsidR="00C544B5" w:rsidRPr="00C544B5" w:rsidRDefault="009D7801" w:rsidP="00C544B5">
      <w:pPr>
        <w:pStyle w:val="Standardabsatz"/>
      </w:pPr>
      <w:r>
        <w:rPr>
          <w:lang w:val="tr"/>
        </w:rPr>
        <w:t>Malzeme akışı iş hacmini ve tam olarak sınıflandırılmış olması gereken nihai sonucu belirler. Malzeme akışı gereksinimleri görevle başlar: Bu şekilde diğer faktörlerin yanı sıra, görev bandının hızı, elek kutusunun farklı katmanlarındaki kat yüksekliği üzerinde doğrudan bir etkiye sahiptir. Elek kapağından birinde katman yüksekliği çok fazla olursa, elenen malzemenin kalitesi hemen bozulur. Bir sınıflandırma eleğinin mükemmel eleme sonucu, sonunda huni çekme bandının ve besleme bandının hızlarının ayarlanması, dozaj klapesinin ayarlanması, besleme bandının elek kutusuna göre konumu, çarpma plakasının ayarlanması, elek kutusunun eğimi ve genliği ve elek malzemesinin doğru seçimi gibi karmaşık bir etkileşimin sonucudur. Kaba parça eleğinde etken parametreler daha azdır, çünkü burada elenen malzemenin kalite gereksinimleri genellikle sınıflandırma eleklerinden daha düşüktür. Eleme sonucu bu tesislerde, besleme bandının hızı, elek kutusunun eğimi ve genliği ile doğru elek kaplamasının seçimi ile etkilenebilir.</w:t>
      </w:r>
    </w:p>
    <w:p w14:paraId="27FF59D4" w14:textId="77777777" w:rsidR="00C544B5" w:rsidRPr="00C544B5" w:rsidRDefault="00C544B5" w:rsidP="00C544B5">
      <w:pPr>
        <w:pStyle w:val="Absatzberschrift"/>
        <w:rPr>
          <w:bCs/>
        </w:rPr>
      </w:pPr>
      <w:r>
        <w:rPr>
          <w:bCs/>
          <w:lang w:val="tr"/>
        </w:rPr>
        <w:t>Elek kutusu ve tahsis</w:t>
      </w:r>
    </w:p>
    <w:p w14:paraId="69FB0D68" w14:textId="199CEA25" w:rsidR="00C544B5" w:rsidRPr="00C544B5" w:rsidRDefault="00C544B5" w:rsidP="00C544B5">
      <w:pPr>
        <w:pStyle w:val="Standardabsatz"/>
      </w:pPr>
      <w:r>
        <w:rPr>
          <w:lang w:val="tr"/>
        </w:rPr>
        <w:t xml:space="preserve">Bir elek tesisi için doğru eleme malzemelerinin seçimi, eleme sonucu için önemlidir. Eleme malzemeleri kullanıma uyarlanmalıdır. Bu noktada, yalnızca hedef tane boyutuna uygun açıklık kesitinin seçilmesi yeterli değildir. Böylece kaba parça için elek tesisinin üst katında yüksek yükler meydana gelir. Bunun nedeni, burada çoğunlukla kaba ve kısmen keskin kenarlı agrega parçalarının elek kaplamalarına çarpmasıdır. Burada sağlam eleme malzemeleri gereklidir: Uygulamaya bağlı olarak sıklıkla parmak elekler, yarık ızgaralar veya delikli saclar kullanılır. </w:t>
      </w:r>
    </w:p>
    <w:p w14:paraId="61D836D4" w14:textId="654509A0" w:rsidR="00C544B5" w:rsidRPr="00C544B5" w:rsidRDefault="009D7801" w:rsidP="00C544B5">
      <w:pPr>
        <w:pStyle w:val="Absatzberschrift"/>
        <w:rPr>
          <w:bCs/>
        </w:rPr>
      </w:pPr>
      <w:r>
        <w:rPr>
          <w:bCs/>
          <w:lang w:val="tr"/>
        </w:rPr>
        <w:t>Daha ince eleme</w:t>
      </w:r>
    </w:p>
    <w:p w14:paraId="093B846E" w14:textId="549111DC" w:rsidR="00C544B5" w:rsidRDefault="00C544B5" w:rsidP="00610E76">
      <w:pPr>
        <w:pStyle w:val="Standardabsatz"/>
        <w:rPr>
          <w:lang w:val="tr"/>
        </w:rPr>
      </w:pPr>
      <w:r>
        <w:rPr>
          <w:lang w:val="tr"/>
        </w:rPr>
        <w:t xml:space="preserve">4 mm'ye kadar tanecik boyutuna sahip kuru malzeme, ayırma kesimi ve eleme performansı gereksinimlerine bağlı olarak, sıradan kare veya uzun gözlü elekler ve piyano harp elekler ile elenebilir. Daha ince eleme yapılması gerektiğinde ve/veya malzeme nemli, yapışkan veya lifli olduğunda iş daha zor hale gelir. İşte ayrıntılar: Daha ince tel kalınlıkları, yapışmayı önler ve elek kutusunun açık elek yüzeyini ve dolayısıyla elek tesisinin verimini artırır. Aynı zamanda tel kalınlığı azaldıkça elek kaplamasının kullanım ömrü de uzar. Burada, daha yüksek performans ile yedek kaplamaların maliyeti ve kaplama değişimi için tesisin duruş süresi arasında bir denge kurulmalıdır. Telli eleğin şekli de elek kaplamasının tıkanmasını önlemeye veya en azından daha uzun süre temiz kalmasına yardımcı olabilir: Bazı harp türlerinde, “ağ boşluğu” da titreşmeye hareket edilir ve böylece yapışan maddeleri “sarsar”. Malzeme de sınır durumlarda önemli bir rol oynar: Böylece paslanmaz çelik ağ, sıradan telli eleklere göre yapışmaya daha az meyillidir. Lastik elek kaplamaları ise, elek kutusunun titreşimiyle harekete geçen malzemenin kendi hareketi sayesinde telli elekten daha uzun süre temiz kalır. Burada malzeme nedeniyle açıklıklar arasında daha geniş bir geçit olması ve bununla bağlantılı olarak eleme kapasitesinin azalması ve elek kaplamasının genellikle yüksek fiyatı dezavantajdır. </w:t>
      </w:r>
    </w:p>
    <w:p w14:paraId="5C671371" w14:textId="77777777" w:rsidR="00FB1AF8" w:rsidRPr="00C544B5" w:rsidRDefault="00FB1AF8" w:rsidP="00610E76">
      <w:pPr>
        <w:pStyle w:val="Standardabsatz"/>
      </w:pPr>
    </w:p>
    <w:p w14:paraId="3C80DF6C" w14:textId="77777777" w:rsidR="00C544B5" w:rsidRPr="00C544B5" w:rsidRDefault="00C544B5" w:rsidP="00C544B5">
      <w:pPr>
        <w:pStyle w:val="Absatzberschrift"/>
        <w:contextualSpacing w:val="0"/>
        <w:rPr>
          <w:bCs/>
        </w:rPr>
      </w:pPr>
      <w:r>
        <w:rPr>
          <w:bCs/>
          <w:lang w:val="tr"/>
        </w:rPr>
        <w:lastRenderedPageBreak/>
        <w:t>Eleme süreci ve ayırma kesiti</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tr"/>
        </w:rPr>
        <w:t xml:space="preserve">Optimum ayırma kesiti için, malzemenin elek kapağında kalma süresini ihtiyaca göre ayarlayabilmek çok önemlidir. Bu öncelikle elek kutusunun eğimi ile gerçekleşir: Dik bir ayar, eleme performansını artırır, ancak bazı durumlarda büyük taneler içindeki küçük taneler nedeniyle ürün kalitesini düşürebilir. Düz olarak ayarlanmış elek kutularında ayırma hassasiyeti daha yüksektir, ancak bunun tersine eleme performansı daha düşüktür. Burada önemli olan, yüksek performans ile istenen ürün kalitesi arasında en iyi dengeyi bulmaktır.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tr"/>
        </w:rPr>
        <w:t>Kaba parçalar için elek tesislerinde ayar aralığı geniştir ve 15,4° ile 20° (MSS 502/802 EVO) ve 12,5°–17°(MSS 1102 PRO) arasındadır. Bu tesislerin alt katı, sözde muz eleği şeklindedir: Besleme tarafı, boşaltma tarafına göre daha dik bir açıya sahiptir. Böylece, önce yüksek akış ve hızlı bir malzeme dağılımına ulaşılır, sonunda malzeme kapağın boşaltma tarafında daha yavaş akarak elek kapağında daha uzun süre kalarak yüksek ayırma hassasiyeti elde edilir. Bu elek kapağı şekli, eleme verimliliğini %10’a kadar artırır.</w:t>
      </w:r>
    </w:p>
    <w:p w14:paraId="26CFDB66" w14:textId="4D059ECD" w:rsidR="00C544B5" w:rsidRDefault="00C544B5" w:rsidP="00C544B5">
      <w:pPr>
        <w:pStyle w:val="Standardabsatz"/>
      </w:pPr>
      <w:r>
        <w:rPr>
          <w:lang w:val="tr"/>
        </w:rPr>
        <w:t>Sınıflandırma eleme işleminin çoğunlukla daha ince taneleri yüksek kalitede eleyebilmesi için, eleme eğiminin ayar aralığının daha büyük olması gerekir. MOBISCREEN MSC EVO sınıflandırma elek tesislerinde bu 20–38° arasındadır.</w:t>
      </w:r>
    </w:p>
    <w:p w14:paraId="7A916850" w14:textId="6BA9E9C6" w:rsidR="00C544B5" w:rsidRPr="00C20F85" w:rsidRDefault="007B2804" w:rsidP="00C20F85">
      <w:pPr>
        <w:pStyle w:val="Absatzberschrift"/>
        <w:contextualSpacing w:val="0"/>
        <w:rPr>
          <w:bCs/>
        </w:rPr>
      </w:pPr>
      <w:r>
        <w:rPr>
          <w:bCs/>
          <w:lang w:val="tr"/>
        </w:rPr>
        <w:t>Optimum nihai ürün için doğru eleme malzemeleri</w:t>
      </w:r>
    </w:p>
    <w:p w14:paraId="375BAC51" w14:textId="77777777" w:rsidR="00C544B5" w:rsidRPr="00C544B5" w:rsidRDefault="00C544B5" w:rsidP="00C544B5">
      <w:pPr>
        <w:pStyle w:val="Standardabsatz"/>
      </w:pPr>
      <w:r>
        <w:rPr>
          <w:lang w:val="tr"/>
        </w:rPr>
        <w:t>İyi düşünülmüş bir tesis seçimi ve görev malzemesine en uygun konfigürasyon ile, sonunda sadece nihai ürünün kalitesi ve verimi optimize edilmez. Mümkün olan en düşük aşınma sayesinde malzeme maliyetleri de düşük tutulur, yani üretilen ton başına maliyet düşük, kalite yüksek olur.</w:t>
      </w:r>
    </w:p>
    <w:p w14:paraId="332FB4CE" w14:textId="77777777" w:rsidR="00FB1AF8" w:rsidRDefault="00FB1AF8" w:rsidP="00E15EBE">
      <w:pPr>
        <w:pStyle w:val="Fotos"/>
        <w:rPr>
          <w:bCs/>
          <w:lang w:val="tr"/>
        </w:rPr>
      </w:pPr>
    </w:p>
    <w:p w14:paraId="31412CCB" w14:textId="7961ACD1" w:rsidR="00E15EBE" w:rsidRPr="00AB6B9C" w:rsidRDefault="00E15EBE" w:rsidP="00E15EBE">
      <w:pPr>
        <w:pStyle w:val="Fotos"/>
      </w:pPr>
      <w:r>
        <w:rPr>
          <w:bCs/>
          <w:lang w:val="tr"/>
        </w:rPr>
        <w:t>Fotoğraflar:</w:t>
      </w:r>
    </w:p>
    <w:p w14:paraId="20879CE4" w14:textId="502CC2C5" w:rsidR="002611FE" w:rsidRPr="00AB6B9C" w:rsidRDefault="00013F50" w:rsidP="002611FE">
      <w:pPr>
        <w:pStyle w:val="BUbold"/>
      </w:pPr>
      <w:r>
        <w:rPr>
          <w:b w:val="0"/>
          <w:noProof/>
          <w:lang w:val="tr"/>
        </w:rPr>
        <w:drawing>
          <wp:inline distT="0" distB="0" distL="0" distR="0" wp14:anchorId="153C4155" wp14:editId="1FA4C5EC">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tr"/>
        </w:rPr>
        <w:br/>
      </w:r>
      <w:r>
        <w:rPr>
          <w:bCs/>
          <w:lang w:val="tr"/>
        </w:rPr>
        <w:t>K_pic_MC120PRO_MCO110PRO_MSC952_MSC953_MBT20_Deutschland_02 (1)</w:t>
      </w:r>
    </w:p>
    <w:p w14:paraId="47324A88" w14:textId="46047B4F" w:rsidR="002611FE" w:rsidRPr="00AB6B9C" w:rsidRDefault="00013F50" w:rsidP="002611FE">
      <w:pPr>
        <w:pStyle w:val="BUnormal"/>
      </w:pPr>
      <w:r>
        <w:rPr>
          <w:lang w:val="tr"/>
        </w:rPr>
        <w:t xml:space="preserve">Bir mobil çeneli kırıcı MOBICAT MC 120 PRO, bir konik kırıcı MOBICONE MCO 110 PRO, mobil sınıflandırma elek tesisi MOBISCREEN MSC 952 ve MSC 953 ve ayrıca bir mobil yığın bandı MBT 20‘den oluşan Kleemann birleştirilmiş tesisi. </w:t>
      </w:r>
      <w:r>
        <w:rPr>
          <w:lang w:val="tr"/>
        </w:rPr>
        <w:br/>
      </w:r>
    </w:p>
    <w:p w14:paraId="29E92010" w14:textId="444BCC9B" w:rsidR="00BD25D1" w:rsidRPr="00AB6B9C" w:rsidRDefault="00D5742E" w:rsidP="00BD25D1">
      <w:pPr>
        <w:pStyle w:val="BUbold"/>
      </w:pPr>
      <w:r>
        <w:rPr>
          <w:b w:val="0"/>
          <w:noProof/>
          <w:lang w:val="tr"/>
        </w:rPr>
        <w:lastRenderedPageBreak/>
        <w:drawing>
          <wp:inline distT="0" distB="0" distL="0" distR="0" wp14:anchorId="4FB195D7" wp14:editId="06E0230E">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tr"/>
        </w:rPr>
        <w:br/>
      </w:r>
      <w:r>
        <w:rPr>
          <w:bCs/>
          <w:lang w:val="tr"/>
        </w:rPr>
        <w:t>K_pic_MSS802EVO_Naturstein</w:t>
      </w:r>
    </w:p>
    <w:p w14:paraId="6F7FC9EB" w14:textId="0DA0F517" w:rsidR="00BD25D1" w:rsidRDefault="00300EB4" w:rsidP="002611FE">
      <w:pPr>
        <w:pStyle w:val="BUnormal"/>
      </w:pPr>
      <w:r>
        <w:rPr>
          <w:lang w:val="tr"/>
        </w:rPr>
        <w:t>Kaba parça elek tesisi MOBISCREEN MSS 808 EVO: Farklı kullanım alanlarında değişen zorluklar için tasarlanmıştır.</w:t>
      </w:r>
      <w:r>
        <w:rPr>
          <w:lang w:val="tr"/>
        </w:rPr>
        <w:br/>
      </w:r>
    </w:p>
    <w:p w14:paraId="6FACDE24" w14:textId="12A18936" w:rsidR="0093786A" w:rsidRDefault="0093786A" w:rsidP="0093786A">
      <w:pPr>
        <w:spacing w:after="220"/>
        <w:rPr>
          <w:sz w:val="22"/>
          <w:szCs w:val="22"/>
        </w:rPr>
      </w:pPr>
      <w:bookmarkStart w:id="0" w:name="_Hlk220657072"/>
      <w:r>
        <w:rPr>
          <w:b/>
          <w:bCs/>
          <w:sz w:val="22"/>
          <w:szCs w:val="22"/>
          <w:lang w:val="tr"/>
        </w:rPr>
        <w:t>Video:</w:t>
      </w:r>
    </w:p>
    <w:bookmarkEnd w:id="0"/>
    <w:p w14:paraId="1B1FC998" w14:textId="189071C6" w:rsidR="0093786A" w:rsidRDefault="00FB1AF8" w:rsidP="0093786A">
      <w:pPr>
        <w:spacing w:after="160" w:line="276" w:lineRule="auto"/>
        <w:rPr>
          <w:sz w:val="18"/>
          <w:szCs w:val="18"/>
        </w:rPr>
      </w:pPr>
      <w:r>
        <w:rPr>
          <w:noProof/>
        </w:rPr>
        <w:drawing>
          <wp:inline distT="0" distB="0" distL="0" distR="0" wp14:anchorId="78697CE3" wp14:editId="01E90701">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p>
    <w:p w14:paraId="2D859281" w14:textId="74C489A1" w:rsidR="0093786A" w:rsidRPr="00FB1AF8" w:rsidRDefault="00FB1AF8" w:rsidP="0093786A">
      <w:pPr>
        <w:spacing w:after="160" w:line="276" w:lineRule="auto"/>
        <w:rPr>
          <w:rStyle w:val="Hyperlink"/>
        </w:rPr>
      </w:pPr>
      <w:r>
        <w:rPr>
          <w:sz w:val="20"/>
          <w:szCs w:val="20"/>
          <w:lang w:val="tr"/>
        </w:rPr>
        <w:fldChar w:fldCharType="begin"/>
      </w:r>
      <w:r>
        <w:rPr>
          <w:sz w:val="20"/>
          <w:szCs w:val="20"/>
          <w:lang w:val="tr"/>
        </w:rPr>
        <w:instrText xml:space="preserve"> HYPERLINK "https://www.youtube.com/watch?v=Y4oakik_fjA" </w:instrText>
      </w:r>
      <w:r>
        <w:rPr>
          <w:sz w:val="20"/>
          <w:szCs w:val="20"/>
          <w:lang w:val="tr"/>
        </w:rPr>
        <w:fldChar w:fldCharType="separate"/>
      </w:r>
      <w:r w:rsidR="00DA5AC6" w:rsidRPr="00FB1AF8">
        <w:rPr>
          <w:rStyle w:val="Hyperlink"/>
          <w:sz w:val="20"/>
          <w:szCs w:val="20"/>
          <w:lang w:val="tr"/>
        </w:rPr>
        <w:t>Videoyu izlemek için lütfen buraya tıklayın.</w:t>
      </w:r>
    </w:p>
    <w:bookmarkStart w:id="1" w:name="_Hlk177486135"/>
    <w:p w14:paraId="01C40C31" w14:textId="746A4915" w:rsidR="0093786A" w:rsidRDefault="00FB1AF8" w:rsidP="0093786A">
      <w:pPr>
        <w:snapToGrid w:val="0"/>
        <w:rPr>
          <w:rFonts w:eastAsia="Times New Roman"/>
          <w:b/>
          <w:iCs/>
          <w:color w:val="0070C0"/>
          <w:sz w:val="20"/>
          <w:szCs w:val="20"/>
        </w:rPr>
      </w:pPr>
      <w:r>
        <w:rPr>
          <w:sz w:val="20"/>
          <w:szCs w:val="20"/>
          <w:lang w:val="tr"/>
        </w:rPr>
        <w:fldChar w:fldCharType="end"/>
      </w:r>
      <w:hyperlink r:id="rId11" w:history="1">
        <w:r w:rsidR="0093786A">
          <w:rPr>
            <w:rStyle w:val="Hyperlink"/>
            <w:rFonts w:eastAsia="Times New Roman"/>
            <w:b/>
            <w:bCs/>
            <w:color w:val="0070C0"/>
            <w:sz w:val="20"/>
            <w:szCs w:val="20"/>
            <w:lang w:val="tr"/>
          </w:rPr>
          <w:t xml:space="preserve">Daha fazla videoyu Wirtgen </w:t>
        </w:r>
        <w:proofErr w:type="spellStart"/>
        <w:r w:rsidR="0093786A">
          <w:rPr>
            <w:rStyle w:val="Hyperlink"/>
            <w:rFonts w:eastAsia="Times New Roman"/>
            <w:b/>
            <w:bCs/>
            <w:color w:val="0070C0"/>
            <w:sz w:val="20"/>
            <w:szCs w:val="20"/>
            <w:lang w:val="tr"/>
          </w:rPr>
          <w:t>Group</w:t>
        </w:r>
        <w:proofErr w:type="spellEnd"/>
      </w:hyperlink>
      <w:r w:rsidR="0093786A">
        <w:rPr>
          <w:b/>
          <w:bCs/>
          <w:color w:val="0070C0"/>
          <w:sz w:val="20"/>
          <w:szCs w:val="20"/>
          <w:u w:val="single"/>
          <w:lang w:val="tr"/>
        </w:rPr>
        <w:t xml:space="preserve"> </w:t>
      </w:r>
      <w:proofErr w:type="spellStart"/>
      <w:r w:rsidR="0093786A">
        <w:rPr>
          <w:b/>
          <w:bCs/>
          <w:color w:val="0070C0"/>
          <w:sz w:val="20"/>
          <w:szCs w:val="20"/>
          <w:u w:val="single"/>
          <w:lang w:val="tr"/>
        </w:rPr>
        <w:t>YouTube</w:t>
      </w:r>
      <w:proofErr w:type="spellEnd"/>
      <w:r w:rsidR="0093786A">
        <w:rPr>
          <w:b/>
          <w:bCs/>
          <w:color w:val="0070C0"/>
          <w:sz w:val="20"/>
          <w:szCs w:val="20"/>
          <w:u w:val="single"/>
          <w:lang w:val="tr"/>
        </w:rPr>
        <w:t xml:space="preserve"> kanalında bulabilirsiniz.</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tr"/>
        </w:rPr>
        <w:t>Açıklama: Bu fotoğraflar sadece ön bakış için sunulmuştur. Yayınlamak için lütfen Wirtgen Group’un web sayfasında 300 dpi çözünürlüğünde sunulan fotoğrafları indirin.</w:t>
      </w:r>
    </w:p>
    <w:p w14:paraId="55931FB8" w14:textId="77777777" w:rsidR="00E15EBE" w:rsidRDefault="00E15EBE" w:rsidP="00E15EBE">
      <w:pPr>
        <w:pStyle w:val="Absatzberschrift"/>
        <w:rPr>
          <w:iCs/>
        </w:rPr>
      </w:pPr>
      <w:r>
        <w:rPr>
          <w:bCs/>
          <w:lang w:val="tr"/>
        </w:rPr>
        <w:t>Daha fazla bilgi için: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tr"/>
        </w:rPr>
        <w:t>WIRTGEN GROUP</w:t>
      </w:r>
    </w:p>
    <w:p w14:paraId="6C2CE818" w14:textId="77777777" w:rsidR="00E15EBE" w:rsidRDefault="00E15EBE" w:rsidP="00E15EBE">
      <w:pPr>
        <w:pStyle w:val="Fuzeile1"/>
      </w:pPr>
      <w:r>
        <w:rPr>
          <w:bCs w:val="0"/>
          <w:iCs w:val="0"/>
          <w:lang w:val="tr"/>
        </w:rPr>
        <w:t>Halkla ilişkiler</w:t>
      </w:r>
    </w:p>
    <w:p w14:paraId="11D0C008" w14:textId="77777777" w:rsidR="00E15EBE" w:rsidRDefault="00E15EBE" w:rsidP="00E15EBE">
      <w:pPr>
        <w:pStyle w:val="Fuzeile1"/>
      </w:pPr>
      <w:r>
        <w:rPr>
          <w:bCs w:val="0"/>
          <w:iCs w:val="0"/>
          <w:lang w:val="tr"/>
        </w:rPr>
        <w:t>Reinhard-Wirtgen-Straße 2</w:t>
      </w:r>
    </w:p>
    <w:p w14:paraId="1063A82F" w14:textId="77777777" w:rsidR="00E15EBE" w:rsidRDefault="00E15EBE" w:rsidP="00E15EBE">
      <w:pPr>
        <w:pStyle w:val="Fuzeile1"/>
      </w:pPr>
      <w:r>
        <w:rPr>
          <w:bCs w:val="0"/>
          <w:iCs w:val="0"/>
          <w:lang w:val="tr"/>
        </w:rPr>
        <w:t>53578 Windhagen</w:t>
      </w:r>
    </w:p>
    <w:p w14:paraId="5A37CC2B" w14:textId="77777777" w:rsidR="00E15EBE" w:rsidRDefault="00E15EBE" w:rsidP="00E15EBE">
      <w:pPr>
        <w:pStyle w:val="Fuzeile1"/>
      </w:pPr>
      <w:r>
        <w:rPr>
          <w:bCs w:val="0"/>
          <w:iCs w:val="0"/>
          <w:lang w:val="tr"/>
        </w:rPr>
        <w:t>Almanya</w:t>
      </w:r>
    </w:p>
    <w:p w14:paraId="29A07732" w14:textId="77777777" w:rsidR="00E15EBE" w:rsidRDefault="00E15EBE" w:rsidP="00E15EBE">
      <w:pPr>
        <w:pStyle w:val="Fuzeile1"/>
      </w:pPr>
    </w:p>
    <w:p w14:paraId="0C099062" w14:textId="32E0DAE7" w:rsidR="00E15EBE" w:rsidRPr="00AB6B9C" w:rsidRDefault="00E15EBE" w:rsidP="00FB1AF8">
      <w:pPr>
        <w:pStyle w:val="Fuzeile1"/>
        <w:tabs>
          <w:tab w:val="left" w:pos="1560"/>
        </w:tabs>
        <w:rPr>
          <w:rFonts w:ascii="Times New Roman" w:hAnsi="Times New Roman" w:cs="Times New Roman"/>
        </w:rPr>
      </w:pPr>
      <w:r>
        <w:rPr>
          <w:bCs w:val="0"/>
          <w:iCs w:val="0"/>
          <w:lang w:val="tr"/>
        </w:rPr>
        <w:t xml:space="preserve">Telefon: </w:t>
      </w:r>
      <w:r w:rsidR="00FB1AF8">
        <w:rPr>
          <w:bCs w:val="0"/>
          <w:iCs w:val="0"/>
          <w:lang w:val="tr"/>
        </w:rPr>
        <w:tab/>
      </w:r>
      <w:r>
        <w:rPr>
          <w:bCs w:val="0"/>
          <w:iCs w:val="0"/>
          <w:lang w:val="tr"/>
        </w:rPr>
        <w:t>+49 (0) 2645 131 – 1966</w:t>
      </w:r>
    </w:p>
    <w:p w14:paraId="65F4C38F" w14:textId="773A9BAB" w:rsidR="00E15EBE" w:rsidRPr="00AB6B9C" w:rsidRDefault="00E15EBE" w:rsidP="00FB1AF8">
      <w:pPr>
        <w:pStyle w:val="Fuzeile1"/>
        <w:tabs>
          <w:tab w:val="left" w:pos="1560"/>
        </w:tabs>
      </w:pPr>
      <w:r>
        <w:rPr>
          <w:bCs w:val="0"/>
          <w:iCs w:val="0"/>
          <w:lang w:val="tr"/>
        </w:rPr>
        <w:t xml:space="preserve">Faks: </w:t>
      </w:r>
      <w:r w:rsidR="00FB1AF8">
        <w:rPr>
          <w:bCs w:val="0"/>
          <w:iCs w:val="0"/>
          <w:lang w:val="tr"/>
        </w:rPr>
        <w:tab/>
      </w:r>
      <w:r>
        <w:rPr>
          <w:bCs w:val="0"/>
          <w:iCs w:val="0"/>
          <w:lang w:val="tr"/>
        </w:rPr>
        <w:t>+49 (0) 2645 131 – 499</w:t>
      </w:r>
    </w:p>
    <w:p w14:paraId="79FF3B7C" w14:textId="44ADAB9E" w:rsidR="00E15EBE" w:rsidRPr="00AB6B9C" w:rsidRDefault="00E15EBE" w:rsidP="00FB1AF8">
      <w:pPr>
        <w:pStyle w:val="Fuzeile1"/>
        <w:tabs>
          <w:tab w:val="left" w:pos="1560"/>
        </w:tabs>
      </w:pPr>
      <w:r>
        <w:rPr>
          <w:bCs w:val="0"/>
          <w:iCs w:val="0"/>
          <w:lang w:val="tr"/>
        </w:rPr>
        <w:t xml:space="preserve">E-posta: </w:t>
      </w:r>
      <w:r w:rsidR="00FB1AF8">
        <w:rPr>
          <w:bCs w:val="0"/>
          <w:iCs w:val="0"/>
          <w:lang w:val="tr"/>
        </w:rPr>
        <w:tab/>
      </w:r>
      <w:hyperlink r:id="rId12" w:history="1">
        <w:r w:rsidR="00FB1AF8" w:rsidRPr="00CD1D01">
          <w:rPr>
            <w:rStyle w:val="Hyperlink"/>
            <w:rFonts w:cs="Times New Roman (Textkörper CS)"/>
            <w:bCs w:val="0"/>
            <w:iCs w:val="0"/>
            <w:lang w:val="tr"/>
          </w:rPr>
          <w:t>PR@wirtgen-group.com</w:t>
        </w:r>
      </w:hyperlink>
    </w:p>
    <w:p w14:paraId="4F99EB86" w14:textId="77777777" w:rsidR="00E15EBE" w:rsidRPr="00AB6B9C" w:rsidRDefault="00E15EBE" w:rsidP="00E15EBE">
      <w:pPr>
        <w:pStyle w:val="Fuzeile1"/>
        <w:rPr>
          <w:vanish/>
        </w:rPr>
      </w:pPr>
    </w:p>
    <w:p w14:paraId="3D604A55" w14:textId="5BB8C1A2" w:rsidR="00F048D4" w:rsidRDefault="00F04004" w:rsidP="00F74540">
      <w:pPr>
        <w:pStyle w:val="Fuzeile1"/>
      </w:pPr>
      <w:hyperlink r:id="rId13" w:history="1">
        <w:r w:rsidR="00DA5AC6">
          <w:rPr>
            <w:rStyle w:val="Hyperlink"/>
            <w:bCs w:val="0"/>
            <w:iCs w:val="0"/>
            <w:lang w:val="tr"/>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t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t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Şablon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t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004"/>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1AF8"/>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9531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