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ru"/>
        </w:rPr>
        <w:t>Kleemann │ Сортировочные установки для крупнокускового материала и классификации: принципы работы и различия</w:t>
      </w:r>
    </w:p>
    <w:p w14:paraId="42270004" w14:textId="1D7A8D5E" w:rsidR="007F2EBD" w:rsidRPr="00031272" w:rsidRDefault="00A1349A" w:rsidP="007F2EBD">
      <w:pPr>
        <w:pStyle w:val="Subhead"/>
      </w:pPr>
      <w:r>
        <w:rPr>
          <w:bCs/>
          <w:iCs w:val="0"/>
          <w:lang w:val="ru"/>
        </w:rPr>
        <w:t>Мобильные грохоты демонстрируют свою эффективность как в составе технологической линии, так и как самостоятельные единицы</w:t>
      </w:r>
    </w:p>
    <w:p w14:paraId="6D386F65" w14:textId="0C1C1D77" w:rsidR="007F2EBD" w:rsidRPr="00A1349A" w:rsidRDefault="00A1349A" w:rsidP="007F2EBD">
      <w:pPr>
        <w:pStyle w:val="Teaser"/>
      </w:pPr>
      <w:r>
        <w:rPr>
          <w:bCs/>
          <w:lang w:val="ru"/>
        </w:rPr>
        <w:t xml:space="preserve">В сфере мобильной переработки природного камня и вторичного сырья долгое время основное внимание уделялось дробильным установкам. Они производят каменные материалы с фракциями, поддающимися регулировке лишь в определенных пределах. Без последующего разделения на фракции с помощью сортировочных установок такие материалы имеют ограниченную коммерческую ценность. Грохоты, напротив, способны разделять материал на несколько фракций и производить готовую продукцию заданного качества. При этом данные установки не обязательно использовать в связке с дробилками — они эффективно работают и как самостоятельное оборудование. Сортировочные установки разделяют на две основные группы: грохоты для крупнокускового материала и классифицирующие грохоты. </w:t>
      </w:r>
    </w:p>
    <w:p w14:paraId="29165CA5" w14:textId="6140DA47" w:rsidR="007F2EBD" w:rsidRPr="00C544B5" w:rsidRDefault="00C544B5" w:rsidP="007F2EBD">
      <w:pPr>
        <w:pStyle w:val="Absatzberschrift"/>
        <w:rPr>
          <w:bCs/>
        </w:rPr>
      </w:pPr>
      <w:r>
        <w:rPr>
          <w:bCs/>
          <w:lang w:val="ru"/>
        </w:rPr>
        <w:t>Грохоты для крупнокускового материала — предварительный этап</w:t>
      </w:r>
    </w:p>
    <w:p w14:paraId="59ECEF98" w14:textId="6DB0EBC9" w:rsidR="007F2EBD" w:rsidRDefault="00C544B5" w:rsidP="00C84C89">
      <w:pPr>
        <w:pStyle w:val="Standardabsatz"/>
        <w:spacing w:after="0"/>
      </w:pPr>
      <w:r>
        <w:rPr>
          <w:lang w:val="ru"/>
        </w:rPr>
        <w:t xml:space="preserve">Главная задача установок для крупнокускового материала (часто называемых скальперами или тяжелыми грохотами) — сортировка сырья еще до первой стадии дробления. Название говорит само за себя: Установки предназначены для работы с грубым монолитным сырьем. Из загрузочного бункера материал поступает прямо на верхнюю деку грохота. Следуя направлению потока материала, надситовая фракция через деку грохота попадает на основной разгрузочный конвейер. Благодаря такой конструкции грохоты для крупнокускового материала легко справляются даже с массивными глыбами. </w:t>
      </w:r>
    </w:p>
    <w:p w14:paraId="1FC719FD" w14:textId="77777777" w:rsidR="00C544B5" w:rsidRPr="00C544B5" w:rsidRDefault="00C544B5" w:rsidP="00C84C89">
      <w:pPr>
        <w:pStyle w:val="Standardabsatz"/>
        <w:spacing w:after="0"/>
      </w:pPr>
      <w:r>
        <w:rPr>
          <w:lang w:val="ru"/>
        </w:rPr>
        <w:t>Загрузка оборудования чаще всего выполняется колесными погрузчиками сбоку или сзади. Дополнительно доступные расширители загрузочного бункера складываются независимо друг от друга. Они позволяют выполнять загрузку сзади даже более широкими ковшами или предотвращают просыпание материала на противоположную сторону бункера при боковой загрузке.</w:t>
      </w:r>
    </w:p>
    <w:p w14:paraId="343CB3E3" w14:textId="39990FEF" w:rsidR="00C544B5" w:rsidRDefault="00C544B5" w:rsidP="00C544B5">
      <w:pPr>
        <w:pStyle w:val="Standardabsatz"/>
        <w:rPr>
          <w:lang w:val="ru"/>
        </w:rPr>
      </w:pPr>
      <w:r>
        <w:rPr>
          <w:lang w:val="ru"/>
        </w:rPr>
        <w:t xml:space="preserve">Гибкие в применении грохоты первичной сортировки крупнокускового материала могут использоваться в технологической линии также в качестве классифицирующих грохотов. Они позволяют разделять дробленую горную массу на фракции (до трех фракций). Для этого задняя стенка бункера грохотов Kleemann для первичной сортировки складывается минимум на двух уровнях высоты, в случае модели MOBISCREEN MSS 802 EVO предусмотрено даже три уровня высоты. Это обеспечивает оптимальную передачу материала даже при малой высоте разгрузки вышестоящей дробилки. </w:t>
      </w:r>
    </w:p>
    <w:p w14:paraId="400514E6" w14:textId="77777777" w:rsidR="00FF13E1" w:rsidRPr="00C544B5" w:rsidRDefault="00FF13E1" w:rsidP="00C544B5">
      <w:pPr>
        <w:pStyle w:val="Standardabsatz"/>
      </w:pPr>
    </w:p>
    <w:p w14:paraId="563E7A8C" w14:textId="77777777" w:rsidR="00C544B5" w:rsidRPr="00610E76" w:rsidRDefault="00C544B5" w:rsidP="00C544B5">
      <w:pPr>
        <w:pStyle w:val="Absatzberschrift"/>
        <w:rPr>
          <w:b w:val="0"/>
          <w:i/>
          <w:iCs/>
        </w:rPr>
      </w:pPr>
      <w:r>
        <w:rPr>
          <w:b w:val="0"/>
          <w:i/>
          <w:iCs/>
          <w:lang w:val="ru"/>
        </w:rPr>
        <w:lastRenderedPageBreak/>
        <w:t>При специальном применении: оснащение для повышенной долговечности</w:t>
      </w:r>
    </w:p>
    <w:p w14:paraId="74E56006" w14:textId="7491BB83" w:rsidR="00C544B5" w:rsidRPr="00C544B5" w:rsidRDefault="00C544B5" w:rsidP="007F2EBD">
      <w:pPr>
        <w:pStyle w:val="Standardabsatz"/>
      </w:pPr>
      <w:r>
        <w:rPr>
          <w:lang w:val="ru"/>
        </w:rPr>
        <w:t>При определенных условиях стандартная конвейерная лента питателя, используемая в грохотах Kleemann для первичной сортировки, может работать на пределе своих возможностей. Например, очень крупный кусковой материал с острыми краями может повредить конвейерную ленту. В свою очередь, при работе с плитчатой, залепленной глиной породой гладкая лента может проскальзывать под загружаемым материалом, особенно если он очень влажный. Чтобы избежать этих осложнений, грохоты для первичной сортировки могут быть оснащены прочным пластинчатым питателем (пластинчатой лентой). Кроме того, со стороны загрузки и разгрузки короба грохота можно установить гасители скорости материала и/или цепные завесы. Это предотвращает бесконтрольное падение крупной породы на главный разгрузочный конвейер, что защищает его от повреждений и исключает снижение долговечности конвейерной ленты.</w:t>
      </w:r>
    </w:p>
    <w:p w14:paraId="71B08943" w14:textId="6C9DF014" w:rsidR="007F2EBD" w:rsidRPr="00C544B5" w:rsidRDefault="00C544B5" w:rsidP="007F2EBD">
      <w:pPr>
        <w:pStyle w:val="Absatzberschrift"/>
        <w:rPr>
          <w:bCs/>
        </w:rPr>
      </w:pPr>
      <w:r>
        <w:rPr>
          <w:bCs/>
          <w:lang w:val="ru"/>
        </w:rPr>
        <w:t>Классифицирующие грохоты — для детальной обработки</w:t>
      </w:r>
    </w:p>
    <w:p w14:paraId="1C8EB086" w14:textId="106D3620" w:rsidR="007F2EBD" w:rsidRDefault="00EC0467" w:rsidP="00C84C89">
      <w:pPr>
        <w:pStyle w:val="Standardabsatz"/>
        <w:spacing w:after="0"/>
      </w:pPr>
      <w:r>
        <w:rPr>
          <w:lang w:val="ru"/>
        </w:rPr>
        <w:t xml:space="preserve">Профессиональной техникой для получения высококачественной конечной или важной промежуточной продукции является классифицирующий грохот. Здесь перерабатываются мелкокусковые, преимущественно предварительно измельченные материалы. Классифицирующие грохоты незаменимы в многоступенчатых процессах дробления и сортировки. Однако они так же часто эксплуатируются в качестве отдельных машин. </w:t>
      </w:r>
    </w:p>
    <w:p w14:paraId="70F8A76B" w14:textId="51CD3414" w:rsidR="00C544B5" w:rsidRPr="00C544B5" w:rsidRDefault="00C544B5" w:rsidP="007F2EBD">
      <w:pPr>
        <w:pStyle w:val="Standardabsatz"/>
      </w:pPr>
      <w:r>
        <w:rPr>
          <w:lang w:val="ru"/>
        </w:rPr>
        <w:t>Классифицирующие грохоты серии MOBISCREEN MSC EVO от Kleemann оснащены загрузочными бункерами очень большой емкости. Загрузка материала осуществляется колесным погрузчиком, экскаватором или через установленную перед ним дробильную/сортировочную установку. Расширяющаяся кверху ширина бункера обеспечивает хороший поток материала. Поскольку классификационные грохоты обычно загружаются более мелким материалом, установки, в отличие от грохотов для предварительной сортировки (грубого грохочения), оснащены менее обширной защитой от ударов и износа.</w:t>
      </w:r>
    </w:p>
    <w:p w14:paraId="6CEA441E" w14:textId="25D40CFC" w:rsidR="00C544B5" w:rsidRPr="00C544B5" w:rsidRDefault="00C544B5" w:rsidP="00C544B5">
      <w:pPr>
        <w:pStyle w:val="Absatzberschrift"/>
        <w:contextualSpacing w:val="0"/>
        <w:rPr>
          <w:bCs/>
        </w:rPr>
      </w:pPr>
      <w:r>
        <w:rPr>
          <w:bCs/>
          <w:lang w:val="ru"/>
        </w:rPr>
        <w:t xml:space="preserve">Поток материала имеет решающее значение </w:t>
      </w:r>
    </w:p>
    <w:p w14:paraId="724421F0" w14:textId="1DFF8F07" w:rsidR="00C544B5" w:rsidRDefault="009D7801" w:rsidP="00C544B5">
      <w:pPr>
        <w:pStyle w:val="Standardabsatz"/>
        <w:rPr>
          <w:lang w:val="ru"/>
        </w:rPr>
      </w:pPr>
      <w:r>
        <w:rPr>
          <w:lang w:val="ru"/>
        </w:rPr>
        <w:t>Поток материала определяет производительность и конечный результат, который должен быть точно классифицирован. Требования к потоку материала начинаются уже на этапе загрузки: Так, наряду с другими факторами, скорость загрузочного конвейера напрямую влияет на толщину слоя материала на разных деках короба грохота. Если высота слоя на одном из дек грохота становится слишком большой, качество просеянного материала сразу ухудшается. Отличный результат просеивания классификационного грохота — это в конечном итоге сложное взаимодействие регулировки скоростей отводящего конвейера бункера и загрузочного конвейера, настройки дозирующей заслонки, положения загрузочного конвейера относительно короба грохота, регулировки отражательной плиты, наклона короба грохота, а также его амплитуды и правильного выбора просеивающих элементов. Параметры воздействия у грохотов для грубого грохочения менее обширны, так как требования к качеству просеянного материала здесь, как правило, ниже, чем у классификационного грохота. На результат просеивания в этих установках влияют скорость загрузочного конвейера, наклон короба грохота и его амплитуда, а также правильный выбор просеивающих поверхностей.</w:t>
      </w:r>
    </w:p>
    <w:p w14:paraId="701EC05A" w14:textId="77777777" w:rsidR="00FF13E1" w:rsidRPr="00C544B5" w:rsidRDefault="00FF13E1" w:rsidP="00C544B5">
      <w:pPr>
        <w:pStyle w:val="Standardabsatz"/>
      </w:pPr>
    </w:p>
    <w:p w14:paraId="27FF59D4" w14:textId="77777777" w:rsidR="00C544B5" w:rsidRPr="00C544B5" w:rsidRDefault="00C544B5" w:rsidP="00C544B5">
      <w:pPr>
        <w:pStyle w:val="Absatzberschrift"/>
        <w:rPr>
          <w:bCs/>
        </w:rPr>
      </w:pPr>
      <w:r>
        <w:rPr>
          <w:bCs/>
          <w:lang w:val="ru"/>
        </w:rPr>
        <w:lastRenderedPageBreak/>
        <w:t>Короб грохота и его оснащение</w:t>
      </w:r>
    </w:p>
    <w:p w14:paraId="69FB0D68" w14:textId="199CEA25" w:rsidR="00C544B5" w:rsidRPr="00C544B5" w:rsidRDefault="00C544B5" w:rsidP="00C544B5">
      <w:pPr>
        <w:pStyle w:val="Standardabsatz"/>
      </w:pPr>
      <w:r>
        <w:rPr>
          <w:lang w:val="ru"/>
        </w:rPr>
        <w:t xml:space="preserve">Правильный выбор просеивающих элементов для грохота имеет решающее значение для результата просеивания. Просеивающие элементы должны соответствовать области применения. При этом важно не только правильно подобрать размер ячеек для целевого размера зерна. Например, на верхнюю деку установки для грохочения крупнокусковых материалов приходится большая нагрузка, так как здесь часто падают крупные, местами остроугольные каменные глыбы. Здесь требуются прочные сита: в зависимости от применения часто используются пальцевые сита, щелевые решетки или перфорированные листы. </w:t>
      </w:r>
    </w:p>
    <w:p w14:paraId="61D836D4" w14:textId="654509A0" w:rsidR="00C544B5" w:rsidRPr="00C544B5" w:rsidRDefault="009D7801" w:rsidP="00C544B5">
      <w:pPr>
        <w:pStyle w:val="Absatzberschrift"/>
        <w:rPr>
          <w:bCs/>
        </w:rPr>
      </w:pPr>
      <w:r>
        <w:rPr>
          <w:bCs/>
          <w:lang w:val="ru"/>
        </w:rPr>
        <w:t>Тонкое просеивание</w:t>
      </w:r>
    </w:p>
    <w:p w14:paraId="093B846E" w14:textId="6212000C" w:rsidR="00C544B5" w:rsidRPr="00C544B5" w:rsidRDefault="00C544B5" w:rsidP="00610E76">
      <w:pPr>
        <w:pStyle w:val="Standardabsatz"/>
      </w:pPr>
      <w:r>
        <w:rPr>
          <w:lang w:val="ru"/>
        </w:rPr>
        <w:t xml:space="preserve">Сухой материал крупностью до 4 мм можно просеивать с помощью обычных квадратных или щелевых сеток, а также «пиано-арф» (струнных сит), в зависимости от требований к качеству разделения и производительности. Ситуация становится сложнее, если требуется еще более тонкое просеивание и/или материал влажный, липкий или волокнистый. Рассмотрим этот вопрос детально: Более тонкая проволока снижает риск налипания и увеличивает открытую просеивающую поверхность короба грохота и, тем самым, производительность сортировочной установки. В то же время с увеличением толщины проволоки срок службы просеивающей поверхности снижается. Здесь необходимо найти компромисс между более высокой производительностью и затратами на замену поверхностей, а также простоями установки для замену покрытий. Форма проволочной сетки также может помочь защитить просеивающую поверхность от застревания материала или, по крайней мере, дольше сохранять просеивающую поверхность грохота свободной: При определенных формах «арф» «струны» также начинает вибрировать и, таким образом, «стряхивают» налипший материал. Решающую роль в пороговой области играет и материал: Так, сетка из нержавеющей стали забьется с меньшей вероятностью, чем обычная проволочная сетка. Резиновые просеивающие поверхности, в свою очередь, за счет собственного движения материала, обусловленного вибрацией короба грохота, не забиваются дольше, чем проволочная сетка. Недостатком здесь является обусловленная материалом более широкая поперечина между отверстиями и связанное с этим снижение общей производительности просеивания, а также обычно высокая стоимость решетки грохота. </w:t>
      </w:r>
    </w:p>
    <w:p w14:paraId="3C80DF6C" w14:textId="77777777" w:rsidR="00C544B5" w:rsidRPr="00C544B5" w:rsidRDefault="00C544B5" w:rsidP="00C544B5">
      <w:pPr>
        <w:pStyle w:val="Absatzberschrift"/>
        <w:contextualSpacing w:val="0"/>
        <w:rPr>
          <w:bCs/>
        </w:rPr>
      </w:pPr>
      <w:r>
        <w:rPr>
          <w:bCs/>
          <w:lang w:val="ru"/>
        </w:rPr>
        <w:t>Процесс просеивания и точность разделения</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ru"/>
        </w:rPr>
        <w:t xml:space="preserve">Для оптимального разделения крайне важно иметь возможность при необходимости изменять время пребывания материала на ситовой деке. В первую очередь это достигается за счет наклона ситового короба: крутой наклон увеличивает производительность грохочения, но при определенных обстоятельствах снижает качество продукта из-за попадания подрешетного продукта в надрешетный. При плоской установке ситовых коробов точность разделения выше, но, как следствие, производительность ниже. Здесь важно точно определить наилучший компромисс между высокой производительностью и желаемым качеством продукта.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ru"/>
        </w:rPr>
        <w:t xml:space="preserve">В установках предварительного грохочения диапазон регулировки угла наклона достаточно обширен и составляет от 15,4° до 20° (MSS 502/802 EVO) и от 12,5°до 17° (MSS 1102 PRO). Нижняя дека этих установок имеет форму так называемого «бананового сита»: Сторона загрузки имеет более крутой угол, чем сторона разгрузки. Таким образом, сначала достигается высокая скорость потока и </w:t>
      </w:r>
      <w:r>
        <w:rPr>
          <w:rFonts w:ascii="Verdana" w:eastAsiaTheme="minorHAnsi" w:hAnsi="Verdana" w:cstheme="minorBidi"/>
          <w:sz w:val="22"/>
          <w:lang w:val="ru"/>
        </w:rPr>
        <w:lastRenderedPageBreak/>
        <w:t>быстрое распределение материала, чтобы в итоге, по направлению к стороне сброса деки, он двигался медленнее и, следовательно, дольше оставался на ситовой деке для достижения высокой точности разделения. Такая форма ситовой деки повышает эффективность грохочения до 10 %.</w:t>
      </w:r>
    </w:p>
    <w:p w14:paraId="26CFDB66" w14:textId="4D059ECD" w:rsidR="00C544B5" w:rsidRDefault="00C544B5" w:rsidP="00C544B5">
      <w:pPr>
        <w:pStyle w:val="Standardabsatz"/>
      </w:pPr>
      <w:r>
        <w:rPr>
          <w:lang w:val="ru"/>
        </w:rPr>
        <w:t>Поскольку с помощью классификационных грохотов обычно отсеиваются более тонкие фракции с высоким качеством, необходим еще больший диапазон регулировки наклона сита. У классификационных установок MOBISCREEN MSC EVO он составляет от 20° до 38°.</w:t>
      </w:r>
    </w:p>
    <w:p w14:paraId="7A916850" w14:textId="6BA9E9C6" w:rsidR="00C544B5" w:rsidRPr="00C20F85" w:rsidRDefault="007B2804" w:rsidP="00C20F85">
      <w:pPr>
        <w:pStyle w:val="Absatzberschrift"/>
        <w:contextualSpacing w:val="0"/>
        <w:rPr>
          <w:bCs/>
        </w:rPr>
      </w:pPr>
      <w:r>
        <w:rPr>
          <w:bCs/>
          <w:lang w:val="ru"/>
        </w:rPr>
        <w:t>Просеивающие элементы для оптимального конечного продукта</w:t>
      </w:r>
    </w:p>
    <w:p w14:paraId="375BAC51" w14:textId="77777777" w:rsidR="00C544B5" w:rsidRPr="00C544B5" w:rsidRDefault="00C544B5" w:rsidP="00C544B5">
      <w:pPr>
        <w:pStyle w:val="Standardabsatz"/>
      </w:pPr>
      <w:r>
        <w:rPr>
          <w:lang w:val="ru"/>
        </w:rPr>
        <w:t>Тщательно продуманный выбор установки и оптимально адаптированная к сырью конфигурация позволяют оптимизировать не только качество и количество выпускаемой конечной продукции. За счет минимально возможного износа также снижаются затраты на материалы — иными словами, обеспечивается высокое качество результата при низкой себестоимости тонны продукции.</w:t>
      </w:r>
    </w:p>
    <w:p w14:paraId="5ECA6D56" w14:textId="77777777" w:rsidR="00FF13E1" w:rsidRDefault="00FF13E1" w:rsidP="00E15EBE">
      <w:pPr>
        <w:pStyle w:val="Fotos"/>
        <w:rPr>
          <w:bCs/>
          <w:lang w:val="ru"/>
        </w:rPr>
      </w:pPr>
    </w:p>
    <w:p w14:paraId="31412CCB" w14:textId="66C64177" w:rsidR="00E15EBE" w:rsidRPr="00AB6B9C" w:rsidRDefault="00E15EBE" w:rsidP="00E15EBE">
      <w:pPr>
        <w:pStyle w:val="Fotos"/>
      </w:pPr>
      <w:r>
        <w:rPr>
          <w:bCs/>
          <w:lang w:val="ru"/>
        </w:rPr>
        <w:t>Фотографии:</w:t>
      </w:r>
    </w:p>
    <w:p w14:paraId="20879CE4" w14:textId="502CC2C5" w:rsidR="002611FE" w:rsidRPr="00AB6B9C" w:rsidRDefault="00013F50" w:rsidP="002611FE">
      <w:pPr>
        <w:pStyle w:val="BUbold"/>
      </w:pPr>
      <w:r>
        <w:rPr>
          <w:b w:val="0"/>
          <w:noProof/>
          <w:lang w:val="ru"/>
        </w:rPr>
        <w:drawing>
          <wp:inline distT="0" distB="0" distL="0" distR="0" wp14:anchorId="153C4155" wp14:editId="407B7A6F">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ru"/>
        </w:rPr>
        <w:br/>
      </w:r>
      <w:r>
        <w:rPr>
          <w:bCs/>
          <w:lang w:val="ru"/>
        </w:rPr>
        <w:t>K_pic_MC120PRO_MCO110PRO_MSC952_MSC953_MBT20_Deutschland_02 (1)</w:t>
      </w:r>
    </w:p>
    <w:p w14:paraId="47324A88" w14:textId="46047B4F" w:rsidR="002611FE" w:rsidRPr="00AB6B9C" w:rsidRDefault="00013F50" w:rsidP="002611FE">
      <w:pPr>
        <w:pStyle w:val="BUnormal"/>
      </w:pPr>
      <w:r>
        <w:rPr>
          <w:lang w:val="ru"/>
        </w:rPr>
        <w:t xml:space="preserve">Технологическая линия Kleemann, состоящая из мобильной щековой дробилки MOBICAT MC 120 PRO, мобильной конусной дробилки MOBICONE MCO 110 PRO, мобильных классифицирующих грохотов MOBISCREEN MSC 952 и MSC 953, а также мобильного отвального конвейера MBT 20. </w:t>
      </w:r>
      <w:r>
        <w:rPr>
          <w:lang w:val="ru"/>
        </w:rPr>
        <w:br/>
      </w:r>
    </w:p>
    <w:p w14:paraId="29E92010" w14:textId="444BCC9B" w:rsidR="00BD25D1" w:rsidRPr="00AB6B9C" w:rsidRDefault="00D5742E" w:rsidP="00BD25D1">
      <w:pPr>
        <w:pStyle w:val="BUbold"/>
      </w:pPr>
      <w:r>
        <w:rPr>
          <w:b w:val="0"/>
          <w:noProof/>
          <w:lang w:val="ru"/>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ru"/>
        </w:rPr>
        <w:br/>
      </w:r>
      <w:r>
        <w:rPr>
          <w:bCs/>
          <w:lang w:val="ru"/>
        </w:rPr>
        <w:t>K_pic_MSS802EVO_Naturstein</w:t>
      </w:r>
    </w:p>
    <w:p w14:paraId="6F7FC9EB" w14:textId="0DA0F517" w:rsidR="00BD25D1" w:rsidRDefault="00300EB4" w:rsidP="002611FE">
      <w:pPr>
        <w:pStyle w:val="BUnormal"/>
      </w:pPr>
      <w:r>
        <w:rPr>
          <w:lang w:val="ru"/>
        </w:rPr>
        <w:t>Грохот для крупнокусковых материалов MOBISCREEN MSS 808 EVO разработан для меняющихся задач в различных областях применения.</w:t>
      </w:r>
      <w:r>
        <w:rPr>
          <w:lang w:val="ru"/>
        </w:rPr>
        <w:br/>
      </w:r>
    </w:p>
    <w:p w14:paraId="6FACDE24" w14:textId="12A18936" w:rsidR="0093786A" w:rsidRDefault="0093786A" w:rsidP="0093786A">
      <w:pPr>
        <w:spacing w:after="220"/>
        <w:rPr>
          <w:sz w:val="22"/>
          <w:szCs w:val="22"/>
        </w:rPr>
      </w:pPr>
      <w:bookmarkStart w:id="0" w:name="_Hlk220657072"/>
      <w:r>
        <w:rPr>
          <w:b/>
          <w:bCs/>
          <w:sz w:val="22"/>
          <w:szCs w:val="22"/>
          <w:lang w:val="ru"/>
        </w:rPr>
        <w:lastRenderedPageBreak/>
        <w:t>Видео:</w:t>
      </w:r>
    </w:p>
    <w:bookmarkEnd w:id="0"/>
    <w:p w14:paraId="1B1FC998" w14:textId="11F635DB" w:rsidR="0093786A" w:rsidRDefault="00FF13E1" w:rsidP="0093786A">
      <w:pPr>
        <w:spacing w:after="160" w:line="276" w:lineRule="auto"/>
        <w:rPr>
          <w:sz w:val="18"/>
          <w:szCs w:val="18"/>
        </w:rPr>
      </w:pPr>
      <w:r>
        <w:rPr>
          <w:noProof/>
        </w:rPr>
        <w:drawing>
          <wp:inline distT="0" distB="0" distL="0" distR="0" wp14:anchorId="2D7CD0FA" wp14:editId="2869C610">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p>
    <w:p w14:paraId="2D859281" w14:textId="108E7A99" w:rsidR="0093786A" w:rsidRPr="00FF13E1" w:rsidRDefault="00FF13E1" w:rsidP="0093786A">
      <w:pPr>
        <w:spacing w:after="160" w:line="276" w:lineRule="auto"/>
        <w:rPr>
          <w:rStyle w:val="Hyperlink"/>
        </w:rPr>
      </w:pPr>
      <w:r>
        <w:rPr>
          <w:sz w:val="20"/>
          <w:szCs w:val="20"/>
          <w:lang w:val="ru"/>
        </w:rPr>
        <w:fldChar w:fldCharType="begin"/>
      </w:r>
      <w:r>
        <w:rPr>
          <w:sz w:val="20"/>
          <w:szCs w:val="20"/>
          <w:lang w:val="ru"/>
        </w:rPr>
        <w:instrText xml:space="preserve"> HYPERLINK "https://www.youtube.com/watch?v=Y4oakik_fjA" </w:instrText>
      </w:r>
      <w:r>
        <w:rPr>
          <w:sz w:val="20"/>
          <w:szCs w:val="20"/>
          <w:lang w:val="ru"/>
        </w:rPr>
        <w:fldChar w:fldCharType="separate"/>
      </w:r>
      <w:r w:rsidR="00DA5AC6" w:rsidRPr="00FF13E1">
        <w:rPr>
          <w:rStyle w:val="Hyperlink"/>
          <w:sz w:val="20"/>
          <w:szCs w:val="20"/>
          <w:lang w:val="ru"/>
        </w:rPr>
        <w:t>Для просмотра видео щелкните здесь.</w:t>
      </w:r>
    </w:p>
    <w:bookmarkStart w:id="1" w:name="_Hlk177486135"/>
    <w:p w14:paraId="01C40C31" w14:textId="09658EBF" w:rsidR="0093786A" w:rsidRDefault="00FF13E1" w:rsidP="0093786A">
      <w:pPr>
        <w:snapToGrid w:val="0"/>
        <w:rPr>
          <w:rFonts w:eastAsia="Times New Roman"/>
          <w:b/>
          <w:iCs/>
          <w:color w:val="0070C0"/>
          <w:sz w:val="20"/>
          <w:szCs w:val="20"/>
        </w:rPr>
      </w:pPr>
      <w:r>
        <w:rPr>
          <w:sz w:val="20"/>
          <w:szCs w:val="20"/>
          <w:lang w:val="ru"/>
        </w:rPr>
        <w:fldChar w:fldCharType="end"/>
      </w:r>
      <w:hyperlink r:id="rId11" w:history="1">
        <w:r w:rsidR="0093786A">
          <w:rPr>
            <w:rStyle w:val="Hyperlink"/>
            <w:rFonts w:eastAsia="Times New Roman"/>
            <w:b/>
            <w:bCs/>
            <w:color w:val="0070C0"/>
            <w:sz w:val="20"/>
            <w:szCs w:val="20"/>
            <w:lang w:val="ru"/>
          </w:rPr>
          <w:t>Больше видео вы найдете на YouTube-канале Wirtgen Group</w:t>
        </w:r>
      </w:hyperlink>
      <w:r w:rsidR="0093786A">
        <w:rPr>
          <w:b/>
          <w:bCs/>
          <w:color w:val="0070C0"/>
          <w:sz w:val="20"/>
          <w:szCs w:val="20"/>
          <w:u w:val="single"/>
          <w:lang w:val="ru"/>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ru"/>
        </w:rPr>
        <w:t>Примечание: настоящие фотографии предназначены только для предварительного просмотра. Для печати в публикациях используйте фотографии с разрешением 300 dpi, которые доступны для скачивания на веб-сайтах Wirtgen Group.</w:t>
      </w:r>
    </w:p>
    <w:p w14:paraId="55931FB8" w14:textId="77777777" w:rsidR="00E15EBE" w:rsidRDefault="00E15EBE" w:rsidP="00E15EBE">
      <w:pPr>
        <w:pStyle w:val="Absatzberschrift"/>
        <w:rPr>
          <w:iCs/>
        </w:rPr>
      </w:pPr>
      <w:r>
        <w:rPr>
          <w:bCs/>
          <w:lang w:val="ru"/>
        </w:rPr>
        <w:t>Контакты для получения дополнительной информации:</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ru"/>
        </w:rPr>
        <w:t>WIRTGEN GROUP</w:t>
      </w:r>
    </w:p>
    <w:p w14:paraId="6C2CE818" w14:textId="77777777" w:rsidR="00E15EBE" w:rsidRDefault="00E15EBE" w:rsidP="00E15EBE">
      <w:pPr>
        <w:pStyle w:val="Fuzeile1"/>
      </w:pPr>
      <w:r>
        <w:rPr>
          <w:bCs w:val="0"/>
          <w:iCs w:val="0"/>
          <w:lang w:val="ru"/>
        </w:rPr>
        <w:t>Public Relations</w:t>
      </w:r>
    </w:p>
    <w:p w14:paraId="11D0C008" w14:textId="77777777" w:rsidR="00E15EBE" w:rsidRDefault="00E15EBE" w:rsidP="00E15EBE">
      <w:pPr>
        <w:pStyle w:val="Fuzeile1"/>
      </w:pPr>
      <w:r>
        <w:rPr>
          <w:bCs w:val="0"/>
          <w:iCs w:val="0"/>
          <w:lang w:val="ru"/>
        </w:rPr>
        <w:t>Reinhard-Wirtgen-Straße 2</w:t>
      </w:r>
    </w:p>
    <w:p w14:paraId="1063A82F" w14:textId="77777777" w:rsidR="00E15EBE" w:rsidRDefault="00E15EBE" w:rsidP="00E15EBE">
      <w:pPr>
        <w:pStyle w:val="Fuzeile1"/>
      </w:pPr>
      <w:r>
        <w:rPr>
          <w:bCs w:val="0"/>
          <w:iCs w:val="0"/>
          <w:lang w:val="ru"/>
        </w:rPr>
        <w:t>53578 Windhagen</w:t>
      </w:r>
    </w:p>
    <w:p w14:paraId="5A37CC2B" w14:textId="77777777" w:rsidR="00E15EBE" w:rsidRDefault="00E15EBE" w:rsidP="00E15EBE">
      <w:pPr>
        <w:pStyle w:val="Fuzeile1"/>
      </w:pPr>
      <w:r>
        <w:rPr>
          <w:bCs w:val="0"/>
          <w:iCs w:val="0"/>
          <w:lang w:val="ru"/>
        </w:rPr>
        <w:t>Германия</w:t>
      </w:r>
    </w:p>
    <w:p w14:paraId="29A07732" w14:textId="77777777" w:rsidR="00E15EBE" w:rsidRDefault="00E15EBE" w:rsidP="00E15EBE">
      <w:pPr>
        <w:pStyle w:val="Fuzeile1"/>
      </w:pPr>
    </w:p>
    <w:p w14:paraId="0C099062" w14:textId="4501F2AF" w:rsidR="00E15EBE" w:rsidRPr="00AB6B9C" w:rsidRDefault="00E15EBE" w:rsidP="00FF13E1">
      <w:pPr>
        <w:pStyle w:val="Fuzeile1"/>
        <w:tabs>
          <w:tab w:val="left" w:pos="1560"/>
        </w:tabs>
        <w:rPr>
          <w:rFonts w:ascii="Times New Roman" w:hAnsi="Times New Roman" w:cs="Times New Roman"/>
        </w:rPr>
      </w:pPr>
      <w:r>
        <w:rPr>
          <w:bCs w:val="0"/>
          <w:iCs w:val="0"/>
          <w:lang w:val="ru"/>
        </w:rPr>
        <w:t xml:space="preserve">Тел.: </w:t>
      </w:r>
      <w:r w:rsidR="00FF13E1">
        <w:rPr>
          <w:bCs w:val="0"/>
          <w:iCs w:val="0"/>
          <w:lang w:val="ru"/>
        </w:rPr>
        <w:tab/>
      </w:r>
      <w:r>
        <w:rPr>
          <w:bCs w:val="0"/>
          <w:iCs w:val="0"/>
          <w:lang w:val="ru"/>
        </w:rPr>
        <w:t>+49 (0) 2645 131 – 1966</w:t>
      </w:r>
    </w:p>
    <w:p w14:paraId="65F4C38F" w14:textId="76C80FC5" w:rsidR="00E15EBE" w:rsidRPr="00AB6B9C" w:rsidRDefault="00E15EBE" w:rsidP="00FF13E1">
      <w:pPr>
        <w:pStyle w:val="Fuzeile1"/>
        <w:tabs>
          <w:tab w:val="left" w:pos="1560"/>
        </w:tabs>
      </w:pPr>
      <w:r>
        <w:rPr>
          <w:bCs w:val="0"/>
          <w:iCs w:val="0"/>
          <w:lang w:val="ru"/>
        </w:rPr>
        <w:t xml:space="preserve">Факс: </w:t>
      </w:r>
      <w:r w:rsidR="00FF13E1">
        <w:rPr>
          <w:bCs w:val="0"/>
          <w:iCs w:val="0"/>
          <w:lang w:val="ru"/>
        </w:rPr>
        <w:tab/>
      </w:r>
      <w:r>
        <w:rPr>
          <w:bCs w:val="0"/>
          <w:iCs w:val="0"/>
          <w:lang w:val="ru"/>
        </w:rPr>
        <w:t>+49 (0) 2645 131 – 499</w:t>
      </w:r>
    </w:p>
    <w:p w14:paraId="79FF3B7C" w14:textId="3CF11589" w:rsidR="00E15EBE" w:rsidRPr="00AB6B9C" w:rsidRDefault="00E15EBE" w:rsidP="00FF13E1">
      <w:pPr>
        <w:pStyle w:val="Fuzeile1"/>
        <w:tabs>
          <w:tab w:val="left" w:pos="1560"/>
        </w:tabs>
      </w:pPr>
      <w:r>
        <w:rPr>
          <w:bCs w:val="0"/>
          <w:iCs w:val="0"/>
          <w:lang w:val="ru"/>
        </w:rPr>
        <w:t xml:space="preserve">E-mail: </w:t>
      </w:r>
      <w:r w:rsidR="00FF13E1">
        <w:rPr>
          <w:bCs w:val="0"/>
          <w:iCs w:val="0"/>
          <w:lang w:val="ru"/>
        </w:rPr>
        <w:tab/>
      </w:r>
      <w:hyperlink r:id="rId12" w:history="1">
        <w:r w:rsidR="00FF13E1" w:rsidRPr="00B24C56">
          <w:rPr>
            <w:rStyle w:val="Hyperlink"/>
            <w:rFonts w:cs="Times New Roman (Textkörper CS)"/>
            <w:bCs w:val="0"/>
            <w:iCs w:val="0"/>
            <w:lang w:val="ru"/>
          </w:rPr>
          <w:t>PR@wirtgen-group.com</w:t>
        </w:r>
      </w:hyperlink>
    </w:p>
    <w:p w14:paraId="4F99EB86" w14:textId="77777777" w:rsidR="00E15EBE" w:rsidRPr="00AB6B9C" w:rsidRDefault="00E15EBE" w:rsidP="00E15EBE">
      <w:pPr>
        <w:pStyle w:val="Fuzeile1"/>
        <w:rPr>
          <w:vanish/>
        </w:rPr>
      </w:pPr>
    </w:p>
    <w:p w14:paraId="3D604A55" w14:textId="5BB8C1A2" w:rsidR="00F048D4" w:rsidRDefault="00943955" w:rsidP="00F74540">
      <w:pPr>
        <w:pStyle w:val="Fuzeile1"/>
      </w:pPr>
      <w:hyperlink r:id="rId13" w:history="1">
        <w:r w:rsidR="00DA5AC6">
          <w:rPr>
            <w:rStyle w:val="Hyperlink"/>
            <w:bCs w:val="0"/>
            <w:iCs w:val="0"/>
            <w:lang w:val="ru"/>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ru"/>
            </w:rPr>
            <w:t>WIRTGEN GmbH</w:t>
          </w:r>
          <w:r>
            <w:rPr>
              <w:szCs w:val="20"/>
              <w:lang w:val="ru"/>
            </w:rPr>
            <w:t xml:space="preserve"> · Reinhard-Wirtgen-Str. 2 · D-53578 Windhagen · Tел.: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ru"/>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ru"/>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Public</w:t>
                    </w:r>
                  </w:p>
                </w:txbxContent>
              </v:textbox>
              <w10:wrap type="square" anchorx="margin"/>
            </v:shape>
          </w:pict>
        </mc:Fallback>
      </mc:AlternateContent>
    </w:r>
    <w:r>
      <w:rPr>
        <w:noProof/>
        <w:lang w:val="ru"/>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Оригинал-макет пресс-ре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ru"/>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43955"/>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F13E1"/>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1516</Words>
  <Characters>9557</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11051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