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7FBD4083" w:rsidR="007F2EBD" w:rsidRPr="00A1349A" w:rsidRDefault="00A1349A" w:rsidP="007F2EBD">
      <w:pPr>
        <w:pStyle w:val="Head"/>
      </w:pPr>
      <w:r w:rsidRPr="00A1349A">
        <w:t>Kleemann</w:t>
      </w:r>
      <w:r w:rsidR="007F2EBD" w:rsidRPr="00A1349A">
        <w:t xml:space="preserve"> │ </w:t>
      </w:r>
      <w:r w:rsidRPr="00A1349A">
        <w:t>Grobstück- und Klassiersiebanl</w:t>
      </w:r>
      <w:r w:rsidR="00D5742E">
        <w:t>a</w:t>
      </w:r>
      <w:r w:rsidRPr="00A1349A">
        <w:t>gen: Grundlagen und Un</w:t>
      </w:r>
      <w:r>
        <w:t>terschiede</w:t>
      </w:r>
    </w:p>
    <w:p w14:paraId="42270004" w14:textId="1D7A8D5E" w:rsidR="007F2EBD" w:rsidRPr="00031272" w:rsidRDefault="00A1349A" w:rsidP="007F2EBD">
      <w:pPr>
        <w:pStyle w:val="Subhead"/>
        <w:rPr>
          <w:lang w:val="pt-BR"/>
        </w:rPr>
      </w:pPr>
      <w:r w:rsidRPr="00A1349A">
        <w:t xml:space="preserve">Mobile Siebanlagen zeigen in verketteten </w:t>
      </w:r>
      <w:r w:rsidR="00EC0467">
        <w:t>und</w:t>
      </w:r>
      <w:r w:rsidRPr="00A1349A">
        <w:t xml:space="preserve"> eigenständigen Anwendungen ihre Stärke</w:t>
      </w:r>
    </w:p>
    <w:p w14:paraId="6D386F65" w14:textId="0C1C1D77" w:rsidR="007F2EBD" w:rsidRPr="00A1349A" w:rsidRDefault="00A1349A" w:rsidP="007F2EBD">
      <w:pPr>
        <w:pStyle w:val="Teaser"/>
      </w:pPr>
      <w:r w:rsidRPr="00A1349A">
        <w:t xml:space="preserve">In der mobilen Aufbereitung von Naturstein und Recyclingmaterialien standen lange Zeit Brechanlagen im Fokus. Diese produzieren zwar in gewissen Grenzen beeinflussbare Gesteinskörnungen, die jedoch ohne die Klassierung durch Siebanlagen nur bedingt verkäuflich sind. Siebanlagen hingegen können Material in mehrere Endprodukte separieren und qualifizierte Endprodukte herstellen. Die Anlagen werden dabei nicht zwingend in Kombination mit Brechanlagen eingesetzt, auch in eigenständigen Anwendungen </w:t>
      </w:r>
      <w:r w:rsidR="00EC0467">
        <w:t xml:space="preserve">zeigen sie </w:t>
      </w:r>
      <w:r w:rsidRPr="00A1349A">
        <w:t>ihre Stärken.</w:t>
      </w:r>
      <w:r w:rsidR="00C544B5">
        <w:t xml:space="preserve"> </w:t>
      </w:r>
      <w:r w:rsidR="00EC0467">
        <w:t>Unterschieden wird</w:t>
      </w:r>
      <w:r w:rsidR="00C544B5">
        <w:t xml:space="preserve"> in zwei Gruppen von Siebanlagen: Grobstück- und Klassiersiebanlagen.</w:t>
      </w:r>
      <w:r w:rsidR="007F2EBD" w:rsidRPr="00A1349A">
        <w:t xml:space="preserve"> </w:t>
      </w:r>
    </w:p>
    <w:p w14:paraId="29165CA5" w14:textId="6140DA47" w:rsidR="007F2EBD" w:rsidRPr="00C544B5" w:rsidRDefault="00C544B5" w:rsidP="007F2EBD">
      <w:pPr>
        <w:pStyle w:val="Absatzberschrift"/>
        <w:rPr>
          <w:bCs/>
        </w:rPr>
      </w:pPr>
      <w:r w:rsidRPr="00C544B5">
        <w:rPr>
          <w:bCs/>
        </w:rPr>
        <w:t>Grobstücksiebanlagen – die Vorbereiter</w:t>
      </w:r>
    </w:p>
    <w:p w14:paraId="59ECEF98" w14:textId="6DB0EBC9" w:rsidR="007F2EBD" w:rsidRDefault="00C544B5" w:rsidP="00C84C89">
      <w:pPr>
        <w:pStyle w:val="Standardabsatz"/>
        <w:spacing w:after="0"/>
        <w:rPr>
          <w:lang w:val="en-US"/>
        </w:rPr>
      </w:pPr>
      <w:r w:rsidRPr="00C544B5">
        <w:t xml:space="preserve">Die Hauptaufgabe von Grobstücksiebanlagen, häufig auch </w:t>
      </w:r>
      <w:proofErr w:type="spellStart"/>
      <w:r w:rsidRPr="00C544B5">
        <w:t>Scalper</w:t>
      </w:r>
      <w:proofErr w:type="spellEnd"/>
      <w:r w:rsidRPr="00C544B5">
        <w:t xml:space="preserve"> oder Schwerlastsiebe genannt, ist es, das Material schon vor der ersten Brechstufe zu sortieren. Die Bezeichnung macht deutlich: Die Anlagen sind für die Beschickung mit grobem, massivem Aufgabegut gemacht. Aus dem Aufgabetrichter gelangt das Material unmittelbar auf das obere Siebdeck. Das Überkorn gelangt in direkter Materialflussrichtung über das Siebdeck auf das Hauptaustragsband. So kommen die Grobstücksiebanlagen auch mit massiven Brocken zurecht.</w:t>
      </w:r>
      <w:r w:rsidR="007F2EBD" w:rsidRPr="00BD25D1">
        <w:rPr>
          <w:lang w:val="en-US"/>
        </w:rPr>
        <w:t xml:space="preserve"> </w:t>
      </w:r>
    </w:p>
    <w:p w14:paraId="1FC719FD" w14:textId="77777777" w:rsidR="00C544B5" w:rsidRPr="00C544B5" w:rsidRDefault="00C544B5" w:rsidP="00C84C89">
      <w:pPr>
        <w:pStyle w:val="Standardabsatz"/>
        <w:spacing w:after="0"/>
      </w:pPr>
      <w:r w:rsidRPr="00C544B5">
        <w:t>Die Beschickung der Anlagen erfolgt häufig per Radlader entweder von der Seite oder von hinten. Die optional erhältlichen Trichtereinfüllhilfen sind unabhängig voneinander klappbar und ermöglichen eine Beschickung auch mit breiteren Schaufeln von hinten oder verhindern bei seitlicher Beschickung ein Überschütten auf der gegenüberliegenden Trichterseite.</w:t>
      </w:r>
    </w:p>
    <w:p w14:paraId="343CB3E3" w14:textId="7761279C" w:rsidR="00C544B5" w:rsidRPr="00C544B5" w:rsidRDefault="00C544B5" w:rsidP="00C544B5">
      <w:pPr>
        <w:pStyle w:val="Standardabsatz"/>
      </w:pPr>
      <w:r w:rsidRPr="00C544B5">
        <w:t xml:space="preserve">Die flexiblen Grobstücksiebanlagen können in einem Anlagenzug auch als Klassiersieb eingesetzt werden und aus dem gebrochenen Gestein bis zu </w:t>
      </w:r>
      <w:r w:rsidR="009D7801">
        <w:t>drei</w:t>
      </w:r>
      <w:r w:rsidR="009D7801" w:rsidRPr="00C544B5">
        <w:t xml:space="preserve"> </w:t>
      </w:r>
      <w:r w:rsidRPr="00C544B5">
        <w:t>Fraktionen absieben. Hierfür ist die Trichterrückwand der Kleemann Grobstücksiebanlagen mindestens in zwei Höhen, im Fall der MOBISCREEN MSS</w:t>
      </w:r>
      <w:r w:rsidR="009D7801">
        <w:t> </w:t>
      </w:r>
      <w:r w:rsidRPr="00C544B5">
        <w:t>802</w:t>
      </w:r>
      <w:r w:rsidR="009D7801">
        <w:t> </w:t>
      </w:r>
      <w:r w:rsidRPr="00C544B5">
        <w:t xml:space="preserve">EVO sogar in drei Höhen, klappbar. Das ermöglicht eine optimale Materialübergabe auch bei geringer Aufgabehöhe eines vorgeschalteten Brechers. </w:t>
      </w:r>
    </w:p>
    <w:p w14:paraId="563E7A8C" w14:textId="77777777" w:rsidR="00C544B5" w:rsidRPr="00610E76" w:rsidRDefault="00C544B5" w:rsidP="00C544B5">
      <w:pPr>
        <w:pStyle w:val="Absatzberschrift"/>
        <w:rPr>
          <w:b w:val="0"/>
          <w:i/>
          <w:iCs/>
        </w:rPr>
      </w:pPr>
      <w:r w:rsidRPr="00610E76">
        <w:rPr>
          <w:b w:val="0"/>
          <w:i/>
          <w:iCs/>
        </w:rPr>
        <w:t>Bei Sonderanwendungen: Ausstattung für bessere Haltbarkeit</w:t>
      </w:r>
    </w:p>
    <w:p w14:paraId="74E56006" w14:textId="7491BB83" w:rsidR="00C544B5" w:rsidRPr="00C544B5" w:rsidRDefault="00C544B5" w:rsidP="007F2EBD">
      <w:pPr>
        <w:pStyle w:val="Standardabsatz"/>
      </w:pPr>
      <w:r w:rsidRPr="00C544B5">
        <w:t>Unter bestimmten Bedingungen kann der in Kleemann Grobstücksiebanlagen im Standard eingesetzte Fördergurt des Aufgabebandes an seine Grenzen stoßen.</w:t>
      </w:r>
      <w:r w:rsidR="009D7801">
        <w:t xml:space="preserve"> </w:t>
      </w:r>
      <w:r w:rsidR="0033090B">
        <w:t>So kann s</w:t>
      </w:r>
      <w:r w:rsidRPr="00C544B5">
        <w:t xml:space="preserve">ehr grobes, scharfkantiges Aufgabegut </w:t>
      </w:r>
      <w:r w:rsidR="0033090B">
        <w:t xml:space="preserve">beispielsweise </w:t>
      </w:r>
      <w:r w:rsidRPr="00C544B5">
        <w:t xml:space="preserve">den Fördergurt beschädigen. Bei plattigem, mit Lehm verklebten Gestein </w:t>
      </w:r>
      <w:r w:rsidR="0033090B">
        <w:t xml:space="preserve">wiederum </w:t>
      </w:r>
      <w:r w:rsidRPr="00C544B5">
        <w:t>kann der glatte Gurt unter dem Aufgabematerial hindurchrutschen, insbesondere wenn es sehr feucht ist. Um diese Komplikationen zu vermeiden, können die Grobstücksiebanlagen mit einem robusten Plattenband ausgestattet werden. Zudem lassen sich Materialbremsen und/oder Kettenvorhänge aufgabe- und abwurfseitig am Siebkasten installieren</w:t>
      </w:r>
      <w:r w:rsidR="009D7801">
        <w:t>.</w:t>
      </w:r>
      <w:r w:rsidR="009D7801" w:rsidRPr="00C544B5">
        <w:t xml:space="preserve"> </w:t>
      </w:r>
      <w:r w:rsidR="009D7801">
        <w:t xml:space="preserve">Dies </w:t>
      </w:r>
      <w:r w:rsidRPr="00C544B5">
        <w:t>verhinder</w:t>
      </w:r>
      <w:r w:rsidR="009D7801">
        <w:t>t</w:t>
      </w:r>
      <w:r w:rsidRPr="00C544B5">
        <w:t xml:space="preserve">, dass grobes Gestein ungebremst auf das Hauptaustragsband </w:t>
      </w:r>
      <w:r w:rsidR="0033090B">
        <w:t>auftrifft</w:t>
      </w:r>
      <w:r w:rsidR="0033090B" w:rsidRPr="00C544B5">
        <w:t xml:space="preserve"> </w:t>
      </w:r>
      <w:r w:rsidRPr="00C544B5">
        <w:t>und es so beschädigen bzw. die Haltbarkeit des Fördergurtes verringern</w:t>
      </w:r>
      <w:r w:rsidR="009D7801">
        <w:t xml:space="preserve"> kann</w:t>
      </w:r>
      <w:r w:rsidRPr="00C544B5">
        <w:t>.</w:t>
      </w:r>
    </w:p>
    <w:p w14:paraId="71B08943" w14:textId="6C9DF014" w:rsidR="007F2EBD" w:rsidRPr="00C544B5" w:rsidRDefault="00C544B5" w:rsidP="007F2EBD">
      <w:pPr>
        <w:pStyle w:val="Absatzberschrift"/>
        <w:rPr>
          <w:bCs/>
        </w:rPr>
      </w:pPr>
      <w:r w:rsidRPr="00C544B5">
        <w:rPr>
          <w:bCs/>
        </w:rPr>
        <w:lastRenderedPageBreak/>
        <w:t>Klassiersiebanlagen – für die Detailarbeit</w:t>
      </w:r>
      <w:r w:rsidR="00610E76">
        <w:rPr>
          <w:bCs/>
        </w:rPr>
        <w:t>er</w:t>
      </w:r>
    </w:p>
    <w:p w14:paraId="1C8EB086" w14:textId="106D3620" w:rsidR="007F2EBD" w:rsidRDefault="00EC0467" w:rsidP="00C84C89">
      <w:pPr>
        <w:pStyle w:val="Standardabsatz"/>
        <w:spacing w:after="0"/>
      </w:pPr>
      <w:r>
        <w:t xml:space="preserve">Der </w:t>
      </w:r>
      <w:r w:rsidR="00C544B5" w:rsidRPr="00C544B5">
        <w:t xml:space="preserve">Profi für hochwertige End- oder wichtige Zwischenprodukte </w:t>
      </w:r>
      <w:r>
        <w:t>ist die</w:t>
      </w:r>
      <w:r w:rsidRPr="00C544B5">
        <w:t xml:space="preserve"> </w:t>
      </w:r>
      <w:r w:rsidR="00C544B5" w:rsidRPr="00C544B5">
        <w:t xml:space="preserve">Klassiersiebanlage. Hier werden </w:t>
      </w:r>
      <w:proofErr w:type="spellStart"/>
      <w:r w:rsidR="00C544B5" w:rsidRPr="00C544B5">
        <w:t>kleinstückige</w:t>
      </w:r>
      <w:proofErr w:type="spellEnd"/>
      <w:r w:rsidR="00C544B5" w:rsidRPr="00C544B5">
        <w:t>, zumeist vorgebrochene Materialien verarbeitet. Klassiersiebe sind in mehrstufigen Brech- und Siebstufen unabdingbar, werden jedoch ebenso häufig als Einzelmaschine betrieben.</w:t>
      </w:r>
      <w:r w:rsidR="007F2EBD" w:rsidRPr="00C544B5">
        <w:t xml:space="preserve"> </w:t>
      </w:r>
    </w:p>
    <w:p w14:paraId="70F8A76B" w14:textId="51CD3414" w:rsidR="00C544B5" w:rsidRPr="00C544B5" w:rsidRDefault="00C544B5" w:rsidP="007F2EBD">
      <w:pPr>
        <w:pStyle w:val="Standardabsatz"/>
      </w:pPr>
      <w:r w:rsidRPr="00C544B5">
        <w:t>Klassiersiebe der MOBISCREEN MSC</w:t>
      </w:r>
      <w:r w:rsidR="009D7801">
        <w:t> </w:t>
      </w:r>
      <w:r w:rsidRPr="00C544B5">
        <w:t>EVO</w:t>
      </w:r>
      <w:r w:rsidR="009D7801">
        <w:t>-</w:t>
      </w:r>
      <w:r w:rsidRPr="00C544B5">
        <w:t xml:space="preserve">Reihe von Kleemann verfügen über Aufgabetrichter mit sehr großem Fassungsvermögen. Aufgegeben wird hier per Radlader, Bagger oder über eine vorgeschaltete Brech- oder Siebanlage. Die sich öffnende Trichterbreite </w:t>
      </w:r>
      <w:r w:rsidR="009D7801">
        <w:t>sichert</w:t>
      </w:r>
      <w:r w:rsidR="00610E76">
        <w:t xml:space="preserve"> </w:t>
      </w:r>
      <w:r w:rsidRPr="00C544B5">
        <w:t>hier ein</w:t>
      </w:r>
      <w:r w:rsidR="009D7801">
        <w:t>en</w:t>
      </w:r>
      <w:r w:rsidRPr="00C544B5">
        <w:t xml:space="preserve"> gute</w:t>
      </w:r>
      <w:r w:rsidR="009D7801">
        <w:t>n</w:t>
      </w:r>
      <w:r w:rsidRPr="00C544B5">
        <w:t xml:space="preserve"> Materialfluss. Da Klassiersiebe in der Regel mit feinerem Material beschickt werden, sind die Anlagen im Gegensatz zu den Grobstücksiebanlagen weniger umfassend mit Aufprall- oder Verschleißschutz ausgestattet.</w:t>
      </w:r>
    </w:p>
    <w:p w14:paraId="6CEA441E" w14:textId="25D40CFC" w:rsidR="00C544B5" w:rsidRPr="00C544B5" w:rsidRDefault="00C544B5" w:rsidP="00C544B5">
      <w:pPr>
        <w:pStyle w:val="Absatzberschrift"/>
        <w:contextualSpacing w:val="0"/>
        <w:rPr>
          <w:bCs/>
        </w:rPr>
      </w:pPr>
      <w:r w:rsidRPr="00C544B5">
        <w:rPr>
          <w:bCs/>
        </w:rPr>
        <w:t xml:space="preserve">Materialfluss ist entscheidend </w:t>
      </w:r>
    </w:p>
    <w:p w14:paraId="724421F0" w14:textId="4F5A743D" w:rsidR="00C544B5" w:rsidRPr="00C544B5" w:rsidRDefault="009D7801" w:rsidP="00C544B5">
      <w:pPr>
        <w:pStyle w:val="Standardabsatz"/>
      </w:pPr>
      <w:r>
        <w:t>De</w:t>
      </w:r>
      <w:r w:rsidR="00C544B5" w:rsidRPr="00C544B5">
        <w:t>r</w:t>
      </w:r>
      <w:r>
        <w:t xml:space="preserve"> Materialfluss</w:t>
      </w:r>
      <w:r w:rsidR="00C544B5" w:rsidRPr="00C544B5">
        <w:t xml:space="preserve"> bestimmt den Durchsatz und das Endergebnis, das exakt klassiert sein sollte. Die Anforderungen an den Materialfluss beginnen schon bei der Aufgabe: So hat die Geschwindigkeit des Aufgabebandes neben anderen Faktoren einen direkten Einfluss auf die Schichthöhe auf den unterschiedlichen Decks des Siebkastens. Wird die Schichthöhe auf einem der Siebdecks zu hoch, verschlechtert sich die Qualität des abgesiebten Materials unmittelbar. Ein ausgezeichnetes Siebergebnis eines </w:t>
      </w:r>
      <w:proofErr w:type="spellStart"/>
      <w:r w:rsidR="00C544B5" w:rsidRPr="00C544B5">
        <w:t>Klassiersiebes</w:t>
      </w:r>
      <w:proofErr w:type="spellEnd"/>
      <w:r w:rsidR="00C544B5" w:rsidRPr="00C544B5">
        <w:t xml:space="preserve"> ist am Ende ein komplexes Zusammenspiel aus der Einstellung der Geschwindigkeiten des Trichterabzugsbandes und des Aufgabebandes, der Einstellung der Dosierklappe, der Position des Aufgabebandes relativ zum Siebkasten, der Einstellung der Prallplatte, der Siebkastenneigung sowie dessen Amplitude und der richtigen Wahl der Siebmedien. Weniger umfangreich sind die Einflussparameter bei einem Grobstücksieb, weil hier die Anforderungen an die Qualität des Siebgutes zumeist niedriger als bei einem Klassiersieb sind. </w:t>
      </w:r>
      <w:r>
        <w:t xml:space="preserve">Das Siebergebnis wird </w:t>
      </w:r>
      <w:r w:rsidR="00C544B5" w:rsidRPr="00C544B5">
        <w:t>bei diesen Anlagen über die Geschwindigkeit des Aufgabebandes, die Siebkastenneigung und dessen Amplitude sowie die richtige Wahl der Siebbeläge beeinflusst.</w:t>
      </w:r>
    </w:p>
    <w:p w14:paraId="27FF59D4" w14:textId="77777777" w:rsidR="00C544B5" w:rsidRPr="00C544B5" w:rsidRDefault="00C544B5" w:rsidP="00C544B5">
      <w:pPr>
        <w:pStyle w:val="Absatzberschrift"/>
        <w:rPr>
          <w:bCs/>
        </w:rPr>
      </w:pPr>
      <w:r w:rsidRPr="00C544B5">
        <w:rPr>
          <w:bCs/>
        </w:rPr>
        <w:t>Der Siebkasten und seine Belegung</w:t>
      </w:r>
    </w:p>
    <w:p w14:paraId="69FB0D68" w14:textId="199CEA25" w:rsidR="00C544B5" w:rsidRPr="00C544B5" w:rsidRDefault="00C544B5" w:rsidP="00C544B5">
      <w:pPr>
        <w:pStyle w:val="Standardabsatz"/>
      </w:pPr>
      <w:r w:rsidRPr="00C544B5">
        <w:t xml:space="preserve">Die richtige Wahl der Siebmedien für eine Siebanlage </w:t>
      </w:r>
      <w:r w:rsidR="009D7801">
        <w:t>ist ausschlaggebend für das</w:t>
      </w:r>
      <w:r w:rsidRPr="00C544B5">
        <w:t xml:space="preserve"> Siebergebnis</w:t>
      </w:r>
      <w:r w:rsidR="009D7801">
        <w:t>. D</w:t>
      </w:r>
      <w:r w:rsidRPr="00C544B5">
        <w:t xml:space="preserve">ie Siebmedien </w:t>
      </w:r>
      <w:r w:rsidR="009D7801">
        <w:t xml:space="preserve">sollten </w:t>
      </w:r>
      <w:r w:rsidRPr="00C544B5">
        <w:t xml:space="preserve">auf die Anwendung abgestimmt </w:t>
      </w:r>
      <w:r w:rsidR="009D7801">
        <w:t>sein</w:t>
      </w:r>
      <w:r w:rsidRPr="00C544B5">
        <w:t xml:space="preserve">. Dabei kommt es nicht nur auf die richtige Wahl des für die Zielkorngröße passenden Öffnungsquerschnitts an. So herrschen im Oberdeck einer Grobstücksiebanlage hohe Belastungen, weil hier oft grobe, </w:t>
      </w:r>
      <w:r w:rsidR="009D7801">
        <w:t>teils</w:t>
      </w:r>
      <w:r w:rsidRPr="00C544B5">
        <w:t xml:space="preserve"> scharfkantige Gesteinsbrocken auf die Siebbeläge prallen. Hier sind robuste Siebmedien gefragt</w:t>
      </w:r>
      <w:r w:rsidR="009D7801">
        <w:t>: Je</w:t>
      </w:r>
      <w:r w:rsidRPr="00C544B5">
        <w:t xml:space="preserve"> nach Anwendung </w:t>
      </w:r>
      <w:r w:rsidR="009D7801">
        <w:t xml:space="preserve">kommen </w:t>
      </w:r>
      <w:r w:rsidRPr="00C544B5">
        <w:t xml:space="preserve">häufig Fingersiebe, Spaltroste oder Lochbleche zum Einsatz. </w:t>
      </w:r>
    </w:p>
    <w:p w14:paraId="61D836D4" w14:textId="654509A0" w:rsidR="00C544B5" w:rsidRPr="00C544B5" w:rsidRDefault="009D7801" w:rsidP="00C544B5">
      <w:pPr>
        <w:pStyle w:val="Absatzberschrift"/>
        <w:rPr>
          <w:bCs/>
        </w:rPr>
      </w:pPr>
      <w:r>
        <w:rPr>
          <w:bCs/>
        </w:rPr>
        <w:t>F</w:t>
      </w:r>
      <w:r w:rsidR="00C544B5" w:rsidRPr="00C544B5">
        <w:rPr>
          <w:bCs/>
        </w:rPr>
        <w:t>einer absieben</w:t>
      </w:r>
    </w:p>
    <w:p w14:paraId="093B846E" w14:textId="6212000C" w:rsidR="00C544B5" w:rsidRPr="00C544B5" w:rsidRDefault="00C544B5" w:rsidP="00610E76">
      <w:pPr>
        <w:pStyle w:val="Standardabsatz"/>
      </w:pPr>
      <w:r w:rsidRPr="00C544B5">
        <w:t>Trockenes Material bis zu einer Korngröße von 4</w:t>
      </w:r>
      <w:r w:rsidR="009D7801">
        <w:t> </w:t>
      </w:r>
      <w:r w:rsidRPr="00C544B5">
        <w:t>mm kann je nach Anspruch an Trennschnitt und Siebleistung mit gewöhnlichen Quadrat- oder Langmaschen sowie Pianoharfen abgesiebt werden. Anspruchsvoller wird es, wenn noch feiner abgesiebt werden soll und/oder das Material feucht, klebrig oder faserig ist. Hier geht es ins Detail:</w:t>
      </w:r>
      <w:r w:rsidR="007B2804">
        <w:t xml:space="preserve"> </w:t>
      </w:r>
      <w:r w:rsidRPr="00C544B5">
        <w:t xml:space="preserve">Dünnere Drahtstärken reduzieren die Gefahr von Anbackungen und vergrößern die offene Siebfläche des Siebkastens und damit die Leistung der Siebanlage. Gleichzeitig verringert sich mit der Drahtstärke die Standzeit des Siebbelags. Hier muss zwischen der höheren Leistung und den Kosten für Ersatzbeläge sowie für die Standzeit der Anlage für den </w:t>
      </w:r>
      <w:proofErr w:type="spellStart"/>
      <w:r w:rsidRPr="00C544B5">
        <w:t>Belagwechsel</w:t>
      </w:r>
      <w:proofErr w:type="spellEnd"/>
      <w:r w:rsidRPr="00C544B5">
        <w:t xml:space="preserve"> abgewogen werden. Die Form der Drahtgewebe kann ebenfalls helfen, einen Siebbelag vor dem Verblocken zu schützen oder zumindest länger freizuhalten: Bei bestimmten Harfenformen werden die „Maschen“ ebenfalls </w:t>
      </w:r>
      <w:r w:rsidRPr="00C544B5">
        <w:lastRenderedPageBreak/>
        <w:t xml:space="preserve">zum Schwingen angeregt und „schütteln“ so die Anhaftungen ab. Auch das Material spielt im Grenzbereich eine entscheidende Rolle: So neigt ein Edelstahlgewebe weniger zum Verkleben als ein gewöhnliches Drahtgewebe. Gummisiebbeläge wiederum halten sich durch die Eigenbewegung des durch die Schwingung des Siebkasten angeregten Materials länger frei als Drahtgewebe. Nachteilig ist hier der materialbedingt notwendige breitere Steg zwischen den Öffnungen und die damit verbundene Reduzierung der Siebleistung sowie der zumeist hohe Preis des Siebbelags. </w:t>
      </w:r>
    </w:p>
    <w:p w14:paraId="3C80DF6C" w14:textId="77777777" w:rsidR="00C544B5" w:rsidRPr="00C544B5" w:rsidRDefault="00C544B5" w:rsidP="00C544B5">
      <w:pPr>
        <w:pStyle w:val="Absatzberschrift"/>
        <w:contextualSpacing w:val="0"/>
        <w:rPr>
          <w:bCs/>
        </w:rPr>
      </w:pPr>
      <w:r w:rsidRPr="00C544B5">
        <w:rPr>
          <w:bCs/>
        </w:rPr>
        <w:t>Siebverlauf und Trennschnitt</w:t>
      </w:r>
    </w:p>
    <w:p w14:paraId="37081717" w14:textId="6798B688" w:rsidR="00C544B5" w:rsidRDefault="00C544B5" w:rsidP="007B2804">
      <w:pPr>
        <w:pStyle w:val="StandardWeb"/>
        <w:spacing w:before="0" w:beforeAutospacing="0" w:after="0" w:afterAutospacing="0"/>
        <w:jc w:val="both"/>
        <w:rPr>
          <w:rFonts w:ascii="Verdana" w:eastAsiaTheme="minorHAnsi" w:hAnsi="Verdana" w:cstheme="minorBidi"/>
          <w:sz w:val="22"/>
          <w:lang w:eastAsia="en-US"/>
        </w:rPr>
      </w:pPr>
      <w:r w:rsidRPr="00C544B5">
        <w:rPr>
          <w:rFonts w:ascii="Verdana" w:eastAsiaTheme="minorHAnsi" w:hAnsi="Verdana" w:cstheme="minorBidi"/>
          <w:sz w:val="22"/>
          <w:lang w:eastAsia="en-US"/>
        </w:rPr>
        <w:t xml:space="preserve">Für einen optimalen Trennschnitt ist es entscheidend, die Verweildauer des Materials auf dem Siebdeck je nach Bedarf beeinflussen zu können. Das erfolgt in erster Linie durch die Neigung des Siebkastens: Eine steile Einstellung erhöht die Siebleistung, verringert jedoch </w:t>
      </w:r>
      <w:r w:rsidR="001969F9">
        <w:rPr>
          <w:rFonts w:ascii="Verdana" w:eastAsiaTheme="minorHAnsi" w:hAnsi="Verdana" w:cstheme="minorBidi"/>
          <w:sz w:val="22"/>
          <w:lang w:eastAsia="en-US"/>
        </w:rPr>
        <w:t xml:space="preserve">unter Umständen </w:t>
      </w:r>
      <w:r w:rsidR="007B2804">
        <w:rPr>
          <w:rFonts w:ascii="Verdana" w:eastAsiaTheme="minorHAnsi" w:hAnsi="Verdana" w:cstheme="minorBidi"/>
          <w:sz w:val="22"/>
          <w:lang w:eastAsia="en-US"/>
        </w:rPr>
        <w:t>auch</w:t>
      </w:r>
      <w:r w:rsidRPr="00C544B5">
        <w:rPr>
          <w:rFonts w:ascii="Verdana" w:eastAsiaTheme="minorHAnsi" w:hAnsi="Verdana" w:cstheme="minorBidi"/>
          <w:sz w:val="22"/>
          <w:lang w:eastAsia="en-US"/>
        </w:rPr>
        <w:t xml:space="preserve"> die Produktqualität durch Unterkorn im Überkorn. Bei flach eingestellten Siebkästen ist die Trennschärfe höher, jedoch im Umkehrschluss die Siebleistung geringer. Hier gilt es den besten Kompromiss zwischen hoher Leistung und gewünschter Produktqualität genau auszuloten. </w:t>
      </w:r>
    </w:p>
    <w:p w14:paraId="7FA90390" w14:textId="4665DE15" w:rsidR="00C544B5" w:rsidRPr="00C544B5" w:rsidRDefault="00C544B5" w:rsidP="007B2804">
      <w:pPr>
        <w:pStyle w:val="StandardWeb"/>
        <w:spacing w:before="0" w:beforeAutospacing="0" w:after="0" w:afterAutospacing="0"/>
        <w:jc w:val="both"/>
        <w:rPr>
          <w:rFonts w:ascii="Verdana" w:eastAsiaTheme="minorHAnsi" w:hAnsi="Verdana" w:cstheme="minorBidi"/>
          <w:sz w:val="22"/>
          <w:lang w:eastAsia="en-US"/>
        </w:rPr>
      </w:pPr>
      <w:r w:rsidRPr="00C544B5">
        <w:rPr>
          <w:rFonts w:ascii="Verdana" w:eastAsiaTheme="minorHAnsi" w:hAnsi="Verdana" w:cstheme="minorBidi"/>
          <w:sz w:val="22"/>
          <w:lang w:eastAsia="en-US"/>
        </w:rPr>
        <w:t>Bei Grobstücksiebanlagen ist der Einstellbereich großzügig und liegt zwischen 15,4° und 20° (MSS 502/802 EVO) und 12,5°–17° (MSS</w:t>
      </w:r>
      <w:r w:rsidR="007B2804">
        <w:rPr>
          <w:rFonts w:ascii="Verdana" w:eastAsiaTheme="minorHAnsi" w:hAnsi="Verdana" w:cstheme="minorBidi"/>
          <w:sz w:val="22"/>
          <w:lang w:eastAsia="en-US"/>
        </w:rPr>
        <w:t> </w:t>
      </w:r>
      <w:r w:rsidRPr="00C544B5">
        <w:rPr>
          <w:rFonts w:ascii="Verdana" w:eastAsiaTheme="minorHAnsi" w:hAnsi="Verdana" w:cstheme="minorBidi"/>
          <w:sz w:val="22"/>
          <w:lang w:eastAsia="en-US"/>
        </w:rPr>
        <w:t>1102</w:t>
      </w:r>
      <w:r w:rsidR="007B2804">
        <w:rPr>
          <w:rFonts w:ascii="Verdana" w:eastAsiaTheme="minorHAnsi" w:hAnsi="Verdana" w:cstheme="minorBidi"/>
          <w:sz w:val="22"/>
          <w:lang w:eastAsia="en-US"/>
        </w:rPr>
        <w:t> </w:t>
      </w:r>
      <w:r w:rsidRPr="00C544B5">
        <w:rPr>
          <w:rFonts w:ascii="Verdana" w:eastAsiaTheme="minorHAnsi" w:hAnsi="Verdana" w:cstheme="minorBidi"/>
          <w:sz w:val="22"/>
          <w:lang w:eastAsia="en-US"/>
        </w:rPr>
        <w:t>PRO). Das Unterdeck dieser Anlagen entspricht der Form eines sogenannten Bananensiebs: Die Aufgabeseite hat einen steileren Winkel als die Abwurfseite. So wird zunächst eine hohe Fließgeschwindigkeit und eine schnelle Verteilung des Materials erreicht, um schließlich in Richtung Abwurfseite des Decks langsamer zu fließen und folglich länger auf dem Siebdeck zu verweilen, um eine hohe Trennschärfe zu erreichen. Diese Form des Siebdecks erhöht die Siebeffizienz um bis zu 10 %.</w:t>
      </w:r>
    </w:p>
    <w:p w14:paraId="26CFDB66" w14:textId="4D059ECD" w:rsidR="00C544B5" w:rsidRDefault="00C544B5" w:rsidP="00C544B5">
      <w:pPr>
        <w:pStyle w:val="Standardabsatz"/>
      </w:pPr>
      <w:r w:rsidRPr="00C544B5">
        <w:t>Da</w:t>
      </w:r>
      <w:r w:rsidR="001969F9">
        <w:t xml:space="preserve"> </w:t>
      </w:r>
      <w:r w:rsidRPr="00C544B5">
        <w:t>mit Klassiersieben zumeist feinere Körnungen mit hoher Qualität abgesiebt werden sollen, ist ein noch größerer Einstellbereich der Siebneigung notwendig. Bei den Klassiersiebanlagen MOBISCREEN MSC</w:t>
      </w:r>
      <w:r w:rsidR="007B2804">
        <w:t> </w:t>
      </w:r>
      <w:r w:rsidRPr="00C544B5">
        <w:t>EVO reicht dieser von 20–38°.</w:t>
      </w:r>
    </w:p>
    <w:p w14:paraId="7A916850" w14:textId="6BA9E9C6" w:rsidR="00C544B5" w:rsidRPr="00C20F85" w:rsidRDefault="007B2804" w:rsidP="00C20F85">
      <w:pPr>
        <w:pStyle w:val="Absatzberschrift"/>
        <w:contextualSpacing w:val="0"/>
        <w:rPr>
          <w:bCs/>
        </w:rPr>
      </w:pPr>
      <w:r>
        <w:rPr>
          <w:bCs/>
        </w:rPr>
        <w:t>Siebmedien für optimales Endprodukt</w:t>
      </w:r>
    </w:p>
    <w:p w14:paraId="375BAC51" w14:textId="77777777" w:rsidR="00C544B5" w:rsidRPr="00C544B5" w:rsidRDefault="00C544B5" w:rsidP="00C544B5">
      <w:pPr>
        <w:pStyle w:val="Standardabsatz"/>
      </w:pPr>
      <w:r w:rsidRPr="00C544B5">
        <w:t>Mit einer durchdachten Wahl der Anlage und einer auf das Aufgabematerial optimal abgestimmten Konfiguration lässt sich am Ende nicht nur die Qualität und Ausbringungsmenge des Endprodukts optimieren. Durch möglichst geringen Verschleiß werden auch die Materialkosten niedrig gehalten – sprich, ein qualitativ hochwertiges Ergebnis mit niedrigen Kosten pro produzierter Tonne.</w:t>
      </w:r>
    </w:p>
    <w:p w14:paraId="28762B88" w14:textId="0CFD7AD7" w:rsidR="00610E76" w:rsidRDefault="00610E76">
      <w:pPr>
        <w:rPr>
          <w:rFonts w:eastAsiaTheme="minorHAnsi" w:cstheme="minorBidi"/>
          <w:sz w:val="22"/>
          <w:szCs w:val="24"/>
        </w:rPr>
      </w:pPr>
      <w:r>
        <w:br w:type="page"/>
      </w:r>
    </w:p>
    <w:p w14:paraId="31412CCB" w14:textId="10995DDC" w:rsidR="00E15EBE" w:rsidRPr="00AB6B9C" w:rsidRDefault="00E15EBE" w:rsidP="00E15EBE">
      <w:pPr>
        <w:pStyle w:val="Fotos"/>
        <w:rPr>
          <w:lang w:val="pt-BR"/>
        </w:rPr>
      </w:pPr>
      <w:r w:rsidRPr="00AB6B9C">
        <w:rPr>
          <w:lang w:val="pt-BR"/>
        </w:rPr>
        <w:lastRenderedPageBreak/>
        <w:t>Fotos:</w:t>
      </w:r>
    </w:p>
    <w:p w14:paraId="20879CE4" w14:textId="502CC2C5" w:rsidR="002611FE" w:rsidRPr="00AB6B9C" w:rsidRDefault="00013F50" w:rsidP="002611FE">
      <w:pPr>
        <w:pStyle w:val="BUbold"/>
        <w:rPr>
          <w:lang w:val="pt-BR"/>
        </w:rPr>
      </w:pPr>
      <w:r>
        <w:rPr>
          <w:noProof/>
          <w:lang w:val="pt-BR"/>
        </w:rPr>
        <w:drawing>
          <wp:inline distT="0" distB="0" distL="0" distR="0" wp14:anchorId="153C4155" wp14:editId="1FA4C5EC">
            <wp:extent cx="3240000" cy="1822180"/>
            <wp:effectExtent l="0" t="0" r="0" b="698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180"/>
                    </a:xfrm>
                    <a:prstGeom prst="rect">
                      <a:avLst/>
                    </a:prstGeom>
                    <a:noFill/>
                    <a:ln>
                      <a:noFill/>
                    </a:ln>
                  </pic:spPr>
                </pic:pic>
              </a:graphicData>
            </a:graphic>
          </wp:inline>
        </w:drawing>
      </w:r>
      <w:r w:rsidR="002611FE" w:rsidRPr="00AB6B9C">
        <w:rPr>
          <w:lang w:val="pt-BR"/>
        </w:rPr>
        <w:br/>
      </w:r>
      <w:r w:rsidR="001D7BBC" w:rsidRPr="001D7BBC">
        <w:rPr>
          <w:lang w:val="pt-BR"/>
        </w:rPr>
        <w:t>K_pic_MC120PRO_MCO110PRO_MSC952_MSC953_MBT20_Deutschland_02 (1)</w:t>
      </w:r>
    </w:p>
    <w:p w14:paraId="47324A88" w14:textId="46047B4F" w:rsidR="002611FE" w:rsidRPr="00AB6B9C" w:rsidRDefault="00013F50" w:rsidP="002611FE">
      <w:pPr>
        <w:pStyle w:val="BUnormal"/>
        <w:rPr>
          <w:lang w:val="pt-BR"/>
        </w:rPr>
      </w:pPr>
      <w:r w:rsidRPr="00C544B5">
        <w:t>Kleemann Anlagenzug, bestehend aus einem mobilen Backenbrecher MOBICAT MC</w:t>
      </w:r>
      <w:r w:rsidR="00610E76">
        <w:t> </w:t>
      </w:r>
      <w:r w:rsidRPr="00C544B5">
        <w:t>120</w:t>
      </w:r>
      <w:r w:rsidR="00610E76">
        <w:t> </w:t>
      </w:r>
      <w:r w:rsidRPr="00C544B5">
        <w:t>PRO, einem mobilen Kegelbrecher MOBICONE MCO</w:t>
      </w:r>
      <w:r w:rsidR="00610E76">
        <w:t> </w:t>
      </w:r>
      <w:r w:rsidRPr="00C544B5">
        <w:t>110</w:t>
      </w:r>
      <w:r w:rsidR="00610E76">
        <w:t> </w:t>
      </w:r>
      <w:r w:rsidRPr="00C544B5">
        <w:t xml:space="preserve">PRO, den mobilen </w:t>
      </w:r>
      <w:r w:rsidR="00300EB4">
        <w:t>Klassiersiebanlagen</w:t>
      </w:r>
      <w:r w:rsidR="00300EB4" w:rsidRPr="00C544B5">
        <w:t xml:space="preserve"> </w:t>
      </w:r>
      <w:r w:rsidRPr="00C544B5">
        <w:t>MOBISCREEN MSC</w:t>
      </w:r>
      <w:r w:rsidR="00610E76">
        <w:t> </w:t>
      </w:r>
      <w:r w:rsidRPr="00C544B5">
        <w:t>952 und MSC</w:t>
      </w:r>
      <w:r w:rsidR="00610E76">
        <w:t> </w:t>
      </w:r>
      <w:r w:rsidRPr="00C544B5">
        <w:t>953 sowie einem mobilen Haldenband MBT 20.</w:t>
      </w:r>
      <w:r>
        <w:t xml:space="preserve"> </w:t>
      </w:r>
      <w:r w:rsidR="00C84C89">
        <w:br/>
      </w:r>
    </w:p>
    <w:p w14:paraId="29E92010" w14:textId="444BCC9B" w:rsidR="00BD25D1" w:rsidRPr="00AB6B9C" w:rsidRDefault="00D5742E" w:rsidP="00BD25D1">
      <w:pPr>
        <w:pStyle w:val="BUbold"/>
        <w:rPr>
          <w:lang w:val="pt-BR"/>
        </w:rPr>
      </w:pPr>
      <w:r>
        <w:rPr>
          <w:noProof/>
        </w:rPr>
        <w:drawing>
          <wp:inline distT="0" distB="0" distL="0" distR="0" wp14:anchorId="4FB195D7" wp14:editId="0604A40B">
            <wp:extent cx="3240000" cy="1824416"/>
            <wp:effectExtent l="0" t="0" r="0" b="4445"/>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4416"/>
                    </a:xfrm>
                    <a:prstGeom prst="rect">
                      <a:avLst/>
                    </a:prstGeom>
                    <a:noFill/>
                    <a:ln>
                      <a:noFill/>
                    </a:ln>
                  </pic:spPr>
                </pic:pic>
              </a:graphicData>
            </a:graphic>
          </wp:inline>
        </w:drawing>
      </w:r>
      <w:r w:rsidR="00BD25D1" w:rsidRPr="00AB6B9C">
        <w:rPr>
          <w:lang w:val="pt-BR"/>
        </w:rPr>
        <w:br/>
      </w:r>
      <w:r w:rsidRPr="00D5742E">
        <w:rPr>
          <w:lang w:val="pt-BR"/>
        </w:rPr>
        <w:t>K_pic_MSS802EVO_Naturstein</w:t>
      </w:r>
    </w:p>
    <w:p w14:paraId="6F7FC9EB" w14:textId="0DA0F517" w:rsidR="00BD25D1" w:rsidRDefault="00300EB4" w:rsidP="002611FE">
      <w:pPr>
        <w:pStyle w:val="BUnormal"/>
        <w:rPr>
          <w:lang w:val="pt-BR"/>
        </w:rPr>
      </w:pPr>
      <w:r>
        <w:t xml:space="preserve">Die Grobstücksiebanlage </w:t>
      </w:r>
      <w:r w:rsidR="00D5742E">
        <w:t>MOBISCREEN MSS</w:t>
      </w:r>
      <w:r w:rsidR="00610E76">
        <w:t> </w:t>
      </w:r>
      <w:r w:rsidR="00D5742E">
        <w:t>808</w:t>
      </w:r>
      <w:r w:rsidR="00610E76">
        <w:t> </w:t>
      </w:r>
      <w:r w:rsidR="00D5742E">
        <w:t>EVO ist konzipiert für wechselnde Herausforderungen in unterschiedlichen Einsatzgebieten</w:t>
      </w:r>
      <w:r w:rsidR="00013F50" w:rsidRPr="00C544B5">
        <w:t>.</w:t>
      </w:r>
      <w:r w:rsidR="002611FE" w:rsidRPr="00AB6B9C">
        <w:rPr>
          <w:lang w:val="pt-BR"/>
        </w:rPr>
        <w:br/>
      </w:r>
    </w:p>
    <w:p w14:paraId="6FACDE24" w14:textId="12A18936" w:rsidR="0093786A" w:rsidRDefault="0093786A" w:rsidP="0093786A">
      <w:pPr>
        <w:spacing w:after="220"/>
        <w:rPr>
          <w:sz w:val="22"/>
          <w:szCs w:val="22"/>
        </w:rPr>
      </w:pPr>
      <w:bookmarkStart w:id="0" w:name="_Hlk220657072"/>
      <w:r>
        <w:rPr>
          <w:b/>
          <w:bCs/>
          <w:sz w:val="22"/>
          <w:szCs w:val="22"/>
        </w:rPr>
        <w:t>Video:</w:t>
      </w:r>
    </w:p>
    <w:bookmarkEnd w:id="0"/>
    <w:p w14:paraId="1B1FC998" w14:textId="1E35EE0D" w:rsidR="0093786A" w:rsidRDefault="0093786A" w:rsidP="0093786A">
      <w:pPr>
        <w:spacing w:after="160" w:line="276" w:lineRule="auto"/>
        <w:rPr>
          <w:sz w:val="18"/>
          <w:szCs w:val="18"/>
        </w:rPr>
      </w:pPr>
      <w:r>
        <w:t xml:space="preserve"> </w:t>
      </w:r>
      <w:r w:rsidR="00013F50">
        <w:rPr>
          <w:noProof/>
        </w:rPr>
        <w:drawing>
          <wp:inline distT="0" distB="0" distL="0" distR="0" wp14:anchorId="645E551E" wp14:editId="1AC95F32">
            <wp:extent cx="3240000" cy="1822415"/>
            <wp:effectExtent l="0" t="0" r="0" b="698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40000" cy="1822415"/>
                    </a:xfrm>
                    <a:prstGeom prst="rect">
                      <a:avLst/>
                    </a:prstGeom>
                    <a:noFill/>
                    <a:ln>
                      <a:noFill/>
                    </a:ln>
                  </pic:spPr>
                </pic:pic>
              </a:graphicData>
            </a:graphic>
          </wp:inline>
        </w:drawing>
      </w:r>
    </w:p>
    <w:p w14:paraId="2D859281" w14:textId="5D3FA4AE" w:rsidR="0093786A" w:rsidRDefault="00A1553F" w:rsidP="0093786A">
      <w:pPr>
        <w:spacing w:after="160" w:line="276" w:lineRule="auto"/>
      </w:pPr>
      <w:hyperlink r:id="rId11" w:history="1">
        <w:r w:rsidR="0093786A" w:rsidRPr="00013F50">
          <w:rPr>
            <w:rStyle w:val="Hyperlink"/>
            <w:bCs/>
            <w:iCs/>
            <w:sz w:val="20"/>
            <w:szCs w:val="20"/>
          </w:rPr>
          <w:t>Um das Video zu sehen, klicken Sie bitte hier.</w:t>
        </w:r>
      </w:hyperlink>
    </w:p>
    <w:bookmarkStart w:id="1" w:name="_Hlk177486135"/>
    <w:p w14:paraId="01C40C31" w14:textId="77777777" w:rsidR="0093786A" w:rsidRDefault="0093786A" w:rsidP="0093786A">
      <w:pPr>
        <w:snapToGrid w:val="0"/>
        <w:rPr>
          <w:rFonts w:eastAsia="Times New Roman"/>
          <w:b/>
          <w:iCs/>
          <w:color w:val="0070C0"/>
          <w:sz w:val="20"/>
          <w:szCs w:val="20"/>
        </w:rPr>
      </w:pPr>
      <w:r>
        <w:fldChar w:fldCharType="begin"/>
      </w:r>
      <w:r>
        <w:instrText xml:space="preserve"> HYPERLINK "https://www.youtube.com/@WirtgenGroup" </w:instrText>
      </w:r>
      <w:r>
        <w:fldChar w:fldCharType="separate"/>
      </w:r>
      <w:r>
        <w:rPr>
          <w:rStyle w:val="Hyperlink"/>
          <w:rFonts w:eastAsia="Times New Roman"/>
          <w:b/>
          <w:iCs/>
          <w:color w:val="0070C0"/>
          <w:sz w:val="20"/>
          <w:szCs w:val="20"/>
        </w:rPr>
        <w:t>Mehr Videos finden Sie auf dem YouTube Channel der Wirtgen Group</w:t>
      </w:r>
      <w:r>
        <w:fldChar w:fldCharType="end"/>
      </w:r>
      <w:r>
        <w:rPr>
          <w:rFonts w:eastAsia="Times New Roman"/>
          <w:b/>
          <w:iCs/>
          <w:color w:val="0070C0"/>
          <w:sz w:val="20"/>
          <w:szCs w:val="20"/>
          <w:u w:val="single"/>
        </w:rPr>
        <w:t>.</w:t>
      </w:r>
      <w:bookmarkEnd w:id="1"/>
    </w:p>
    <w:p w14:paraId="7667B0CD" w14:textId="77777777" w:rsidR="0093786A" w:rsidRPr="0093786A" w:rsidRDefault="0093786A" w:rsidP="0093786A">
      <w:pPr>
        <w:pStyle w:val="Note"/>
        <w:spacing w:before="0" w:after="0"/>
        <w:rPr>
          <w:i w:val="0"/>
          <w:iCs/>
          <w:lang w:val="pt-BR"/>
        </w:rPr>
      </w:pPr>
    </w:p>
    <w:p w14:paraId="04824B2F" w14:textId="1D2C88F5" w:rsidR="00F74540" w:rsidRPr="006C0C87" w:rsidRDefault="00E15EBE" w:rsidP="006C0C87">
      <w:pPr>
        <w:pStyle w:val="Note"/>
      </w:pPr>
      <w:r w:rsidRPr="00F74540">
        <w:rPr>
          <w:lang w:eastAsia="de-DE"/>
        </w:rPr>
        <w:lastRenderedPageBreak/>
        <w:t>Hinweis:</w:t>
      </w:r>
      <w:r w:rsidR="00A46F1E" w:rsidRPr="00F74540">
        <w:rPr>
          <w:lang w:eastAsia="de-DE"/>
        </w:rPr>
        <w:t xml:space="preserve"> </w:t>
      </w:r>
      <w:r w:rsidR="00A46F1E" w:rsidRPr="00F74540">
        <w:t>Diese Fotos dienen lediglich der Voransicht. Für den Abdruck in den Publikationen nutzen Sie bitte die Fotos in 300 dpi-Auflösung, die auf den Webseiten der Wirtgen Group als Download zur Verfügung stehen.</w:t>
      </w:r>
    </w:p>
    <w:p w14:paraId="55931FB8" w14:textId="77777777" w:rsidR="00E15EBE" w:rsidRDefault="00E15EBE" w:rsidP="00E15EBE">
      <w:pPr>
        <w:pStyle w:val="Absatzberschrift"/>
        <w:rPr>
          <w:iCs/>
        </w:rPr>
      </w:pPr>
      <w:r>
        <w:rPr>
          <w:iCs/>
        </w:rPr>
        <w:t>Weitere Informationen erhalten Sie bei:</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sidRPr="002B783A">
        <w:rPr>
          <w:b w:val="0"/>
          <w:bCs/>
        </w:rPr>
        <w:t>WIRTGEN GROUP</w:t>
      </w:r>
    </w:p>
    <w:p w14:paraId="6C2CE818" w14:textId="77777777" w:rsidR="00E15EBE" w:rsidRDefault="00E15EBE" w:rsidP="00E15EBE">
      <w:pPr>
        <w:pStyle w:val="Fuzeile1"/>
      </w:pPr>
      <w:r>
        <w:t>Public Relations</w:t>
      </w:r>
    </w:p>
    <w:p w14:paraId="11D0C008" w14:textId="77777777" w:rsidR="00E15EBE" w:rsidRDefault="00E15EBE" w:rsidP="00E15EBE">
      <w:pPr>
        <w:pStyle w:val="Fuzeile1"/>
      </w:pPr>
      <w:r>
        <w:t>Reinhard-Wirtgen-Straße 2</w:t>
      </w:r>
    </w:p>
    <w:p w14:paraId="1063A82F" w14:textId="77777777" w:rsidR="00E15EBE" w:rsidRDefault="00E15EBE" w:rsidP="00E15EBE">
      <w:pPr>
        <w:pStyle w:val="Fuzeile1"/>
      </w:pPr>
      <w:r>
        <w:t>53578 Windhagen</w:t>
      </w:r>
    </w:p>
    <w:p w14:paraId="5A37CC2B" w14:textId="77777777" w:rsidR="00E15EBE" w:rsidRDefault="00E15EBE" w:rsidP="00E15EBE">
      <w:pPr>
        <w:pStyle w:val="Fuzeile1"/>
      </w:pPr>
      <w:r>
        <w:t>Deutschland</w:t>
      </w:r>
    </w:p>
    <w:p w14:paraId="29A07732" w14:textId="77777777" w:rsidR="00E15EBE" w:rsidRDefault="00E15EBE" w:rsidP="00E15EBE">
      <w:pPr>
        <w:pStyle w:val="Fuzeile1"/>
      </w:pPr>
    </w:p>
    <w:p w14:paraId="0C099062" w14:textId="551A93D2" w:rsidR="00E15EBE" w:rsidRPr="00AB6B9C" w:rsidRDefault="00E15EBE" w:rsidP="00E15EBE">
      <w:pPr>
        <w:pStyle w:val="Fuzeile1"/>
        <w:rPr>
          <w:rFonts w:ascii="Times New Roman" w:hAnsi="Times New Roman" w:cs="Times New Roman"/>
        </w:rPr>
      </w:pPr>
      <w:r>
        <w:t xml:space="preserve">Telefon: </w:t>
      </w:r>
      <w:r w:rsidR="00CC0EEE">
        <w:tab/>
      </w:r>
      <w:r>
        <w:t xml:space="preserve">+49 (0) 2645 131 – </w:t>
      </w:r>
      <w:r w:rsidRPr="00AB6B9C">
        <w:t>1966</w:t>
      </w:r>
    </w:p>
    <w:p w14:paraId="65F4C38F" w14:textId="77A5BDD8" w:rsidR="00E15EBE" w:rsidRPr="00AB6B9C" w:rsidRDefault="00E15EBE" w:rsidP="00E15EBE">
      <w:pPr>
        <w:pStyle w:val="Fuzeile1"/>
        <w:rPr>
          <w:lang w:val="pt-BR"/>
        </w:rPr>
      </w:pPr>
      <w:r w:rsidRPr="00AB6B9C">
        <w:rPr>
          <w:lang w:val="pt-BR"/>
        </w:rPr>
        <w:t xml:space="preserve">Telefax: </w:t>
      </w:r>
      <w:r w:rsidR="00CC0EEE">
        <w:rPr>
          <w:lang w:val="pt-BR"/>
        </w:rPr>
        <w:tab/>
      </w:r>
      <w:r w:rsidRPr="00AB6B9C">
        <w:rPr>
          <w:lang w:val="pt-BR"/>
        </w:rPr>
        <w:t>+49 (0) 2645 131 – 499</w:t>
      </w:r>
    </w:p>
    <w:p w14:paraId="79FF3B7C" w14:textId="7FA77D7C" w:rsidR="00E15EBE" w:rsidRPr="00AB6B9C" w:rsidRDefault="00E15EBE" w:rsidP="00E15EBE">
      <w:pPr>
        <w:pStyle w:val="Fuzeile1"/>
        <w:rPr>
          <w:lang w:val="pt-BR"/>
        </w:rPr>
      </w:pPr>
      <w:r w:rsidRPr="00AB6B9C">
        <w:rPr>
          <w:lang w:val="pt-BR"/>
        </w:rPr>
        <w:t xml:space="preserve">E-Mail: </w:t>
      </w:r>
      <w:r w:rsidR="00CC0EEE">
        <w:rPr>
          <w:lang w:val="pt-BR"/>
        </w:rPr>
        <w:tab/>
      </w:r>
      <w:hyperlink r:id="rId12" w:history="1">
        <w:r w:rsidR="00CC0EEE" w:rsidRPr="00870A32">
          <w:rPr>
            <w:rStyle w:val="Hyperlink"/>
            <w:rFonts w:cs="Times New Roman (Textkörper CS)" w:hint="cs"/>
            <w:lang w:val="pt-BR"/>
          </w:rPr>
          <w:t>P</w:t>
        </w:r>
        <w:r w:rsidR="00CC0EEE" w:rsidRPr="00870A32">
          <w:rPr>
            <w:rStyle w:val="Hyperlink"/>
            <w:rFonts w:cs="Times New Roman (Textkörper CS)"/>
            <w:lang w:val="pt-BR"/>
          </w:rPr>
          <w:t>R@wirtgen-group.com</w:t>
        </w:r>
      </w:hyperlink>
    </w:p>
    <w:p w14:paraId="4F99EB86" w14:textId="77777777" w:rsidR="00E15EBE" w:rsidRPr="00AB6B9C" w:rsidRDefault="00E15EBE" w:rsidP="00E15EBE">
      <w:pPr>
        <w:pStyle w:val="Fuzeile1"/>
        <w:rPr>
          <w:vanish/>
          <w:lang w:val="pt-BR"/>
        </w:rPr>
      </w:pPr>
    </w:p>
    <w:p w14:paraId="3D604A55" w14:textId="5BB8C1A2" w:rsidR="00F048D4" w:rsidRDefault="00A1553F" w:rsidP="00F74540">
      <w:pPr>
        <w:pStyle w:val="Fuzeile1"/>
      </w:pPr>
      <w:hyperlink r:id="rId13" w:history="1">
        <w:r w:rsidR="00B5101D" w:rsidRPr="00131497">
          <w:rPr>
            <w:rStyle w:val="Hyperlink"/>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F66A" w14:textId="77777777" w:rsidR="00C044E8" w:rsidRDefault="00C044E8" w:rsidP="00E55534">
      <w:r>
        <w:separator/>
      </w:r>
    </w:p>
  </w:endnote>
  <w:endnote w:type="continuationSeparator" w:id="0">
    <w:p w14:paraId="7F324D45" w14:textId="77777777" w:rsidR="00C044E8" w:rsidRDefault="00C044E8"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B1BDA" w14:textId="77777777" w:rsidR="00C044E8" w:rsidRDefault="00C044E8" w:rsidP="00E55534">
      <w:r>
        <w:separator/>
      </w:r>
    </w:p>
  </w:footnote>
  <w:footnote w:type="continuationSeparator" w:id="0">
    <w:p w14:paraId="74F57A0F" w14:textId="77777777" w:rsidR="00C044E8" w:rsidRDefault="00C044E8"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eastAsia="zh-CN"/>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28BA4533" w:rsidR="00A0216C" w:rsidRPr="00A0216C" w:rsidRDefault="00906BEB">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" filled="f" stroked="f">
              <v:textbox style="mso-fit-shape-to-text:t" inset="0,0,15pt,0">
                <w:txbxContent>
                  <w:p w14:paraId="491D52FF" w14:textId="28BA4533" w:rsidR="00A0216C" w:rsidRPr="00A0216C" w:rsidRDefault="00906BEB">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type="square" anchorx="margin"/>
            </v:shape>
          </w:pict>
        </mc:Fallback>
      </mc:AlternateContent>
    </w:r>
    <w:r w:rsidR="00BD5391">
      <w:rPr>
        <w:noProof/>
        <w:lang w:eastAsia="zh-CN"/>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VorlagePressemitteil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eastAsia="zh-CN"/>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sidRPr="00A0216C">
                      <w:rPr>
                        <w:rFonts w:ascii="Calibri" w:eastAsia="Calibri" w:hAnsi="Calibri" w:cs="Calibri"/>
                        <w:noProof/>
                        <w:color w:val="FF0000"/>
                        <w:sz w:val="20"/>
                        <w:szCs w:val="20"/>
                      </w:rPr>
                      <w:t>Company Use</w:t>
                    </w:r>
                  </w:p>
                </w:txbxContent>
              </v:textbox>
              <w10:wrap type="square" anchorx="margin"/>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BC9602D"/>
    <w:multiLevelType w:val="multilevel"/>
    <w:tmpl w:val="CA1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8E44AD8"/>
    <w:multiLevelType w:val="multilevel"/>
    <w:tmpl w:val="F5EE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3F50"/>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30601"/>
    <w:rsid w:val="00132055"/>
    <w:rsid w:val="00146C3D"/>
    <w:rsid w:val="00153B47"/>
    <w:rsid w:val="001613A6"/>
    <w:rsid w:val="001614F0"/>
    <w:rsid w:val="001616F4"/>
    <w:rsid w:val="001632B1"/>
    <w:rsid w:val="0018021A"/>
    <w:rsid w:val="00194FB1"/>
    <w:rsid w:val="001969F9"/>
    <w:rsid w:val="001B16BB"/>
    <w:rsid w:val="001B34EE"/>
    <w:rsid w:val="001C1A3E"/>
    <w:rsid w:val="001D7BBC"/>
    <w:rsid w:val="00200355"/>
    <w:rsid w:val="0021351D"/>
    <w:rsid w:val="00253A2E"/>
    <w:rsid w:val="002603EC"/>
    <w:rsid w:val="002611FE"/>
    <w:rsid w:val="00282AFC"/>
    <w:rsid w:val="00286C15"/>
    <w:rsid w:val="0029634D"/>
    <w:rsid w:val="002C7542"/>
    <w:rsid w:val="002D065C"/>
    <w:rsid w:val="002D0780"/>
    <w:rsid w:val="002D2EE5"/>
    <w:rsid w:val="002D63E6"/>
    <w:rsid w:val="002E4EB0"/>
    <w:rsid w:val="002E765F"/>
    <w:rsid w:val="002E7E4E"/>
    <w:rsid w:val="002F108B"/>
    <w:rsid w:val="002F5818"/>
    <w:rsid w:val="002F70FD"/>
    <w:rsid w:val="00300EB4"/>
    <w:rsid w:val="0030316D"/>
    <w:rsid w:val="0032774C"/>
    <w:rsid w:val="0033090B"/>
    <w:rsid w:val="00332D28"/>
    <w:rsid w:val="0034191A"/>
    <w:rsid w:val="00343CC7"/>
    <w:rsid w:val="0036561D"/>
    <w:rsid w:val="003665BE"/>
    <w:rsid w:val="00384A08"/>
    <w:rsid w:val="00384F73"/>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498D"/>
    <w:rsid w:val="00476100"/>
    <w:rsid w:val="00487BFC"/>
    <w:rsid w:val="004A463B"/>
    <w:rsid w:val="004C1967"/>
    <w:rsid w:val="004D23D0"/>
    <w:rsid w:val="004D2BE0"/>
    <w:rsid w:val="004E6EF5"/>
    <w:rsid w:val="004E7E1B"/>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C6B30"/>
    <w:rsid w:val="005C71EC"/>
    <w:rsid w:val="005E2418"/>
    <w:rsid w:val="005E764C"/>
    <w:rsid w:val="005E7F7D"/>
    <w:rsid w:val="006063D4"/>
    <w:rsid w:val="00610E76"/>
    <w:rsid w:val="00623B37"/>
    <w:rsid w:val="006330A2"/>
    <w:rsid w:val="00642EB6"/>
    <w:rsid w:val="006433E2"/>
    <w:rsid w:val="00651E5D"/>
    <w:rsid w:val="00677F11"/>
    <w:rsid w:val="00682B1A"/>
    <w:rsid w:val="00690D7C"/>
    <w:rsid w:val="00690DFE"/>
    <w:rsid w:val="006B3EEC"/>
    <w:rsid w:val="006C0C87"/>
    <w:rsid w:val="006D156D"/>
    <w:rsid w:val="006D6CC6"/>
    <w:rsid w:val="006D7EAC"/>
    <w:rsid w:val="006E0104"/>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B2804"/>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C2A29"/>
    <w:rsid w:val="008C2DB2"/>
    <w:rsid w:val="008D2B87"/>
    <w:rsid w:val="008D770E"/>
    <w:rsid w:val="0090337E"/>
    <w:rsid w:val="009049D8"/>
    <w:rsid w:val="00906BEB"/>
    <w:rsid w:val="00910609"/>
    <w:rsid w:val="00915841"/>
    <w:rsid w:val="009328FA"/>
    <w:rsid w:val="00936916"/>
    <w:rsid w:val="00936A78"/>
    <w:rsid w:val="009375E1"/>
    <w:rsid w:val="0093786A"/>
    <w:rsid w:val="009405D6"/>
    <w:rsid w:val="00950D7A"/>
    <w:rsid w:val="00952853"/>
    <w:rsid w:val="00954D68"/>
    <w:rsid w:val="009646E4"/>
    <w:rsid w:val="00977EC3"/>
    <w:rsid w:val="0098631D"/>
    <w:rsid w:val="009B17A9"/>
    <w:rsid w:val="009B211F"/>
    <w:rsid w:val="009B7C05"/>
    <w:rsid w:val="009C2378"/>
    <w:rsid w:val="009C5A77"/>
    <w:rsid w:val="009C5D99"/>
    <w:rsid w:val="009D016F"/>
    <w:rsid w:val="009D7801"/>
    <w:rsid w:val="009E251D"/>
    <w:rsid w:val="009E4817"/>
    <w:rsid w:val="009F10A8"/>
    <w:rsid w:val="009F715C"/>
    <w:rsid w:val="00A0216C"/>
    <w:rsid w:val="00A02F49"/>
    <w:rsid w:val="00A1349A"/>
    <w:rsid w:val="00A1553F"/>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D131F"/>
    <w:rsid w:val="00AD32D5"/>
    <w:rsid w:val="00AD70E4"/>
    <w:rsid w:val="00AF3B3A"/>
    <w:rsid w:val="00AF4E8E"/>
    <w:rsid w:val="00AF6569"/>
    <w:rsid w:val="00B06265"/>
    <w:rsid w:val="00B35915"/>
    <w:rsid w:val="00B5101D"/>
    <w:rsid w:val="00B5232A"/>
    <w:rsid w:val="00B60ED1"/>
    <w:rsid w:val="00B62CF5"/>
    <w:rsid w:val="00B85705"/>
    <w:rsid w:val="00B874DC"/>
    <w:rsid w:val="00B90F78"/>
    <w:rsid w:val="00BA4BBA"/>
    <w:rsid w:val="00BB6A28"/>
    <w:rsid w:val="00BD1058"/>
    <w:rsid w:val="00BD25D1"/>
    <w:rsid w:val="00BD5391"/>
    <w:rsid w:val="00BD764C"/>
    <w:rsid w:val="00BF56B2"/>
    <w:rsid w:val="00C044E8"/>
    <w:rsid w:val="00C055AB"/>
    <w:rsid w:val="00C06F64"/>
    <w:rsid w:val="00C11F95"/>
    <w:rsid w:val="00C136DF"/>
    <w:rsid w:val="00C17501"/>
    <w:rsid w:val="00C20F85"/>
    <w:rsid w:val="00C40627"/>
    <w:rsid w:val="00C43EAF"/>
    <w:rsid w:val="00C457C3"/>
    <w:rsid w:val="00C544B5"/>
    <w:rsid w:val="00C644CA"/>
    <w:rsid w:val="00C658FC"/>
    <w:rsid w:val="00C73005"/>
    <w:rsid w:val="00C84C89"/>
    <w:rsid w:val="00C84D75"/>
    <w:rsid w:val="00C85E18"/>
    <w:rsid w:val="00C96E9F"/>
    <w:rsid w:val="00CA4A09"/>
    <w:rsid w:val="00CB71DD"/>
    <w:rsid w:val="00CC0EEE"/>
    <w:rsid w:val="00CC5A63"/>
    <w:rsid w:val="00CC787C"/>
    <w:rsid w:val="00CF36C9"/>
    <w:rsid w:val="00D00EC4"/>
    <w:rsid w:val="00D166AC"/>
    <w:rsid w:val="00D20B6F"/>
    <w:rsid w:val="00D36BA2"/>
    <w:rsid w:val="00D37CF4"/>
    <w:rsid w:val="00D4487C"/>
    <w:rsid w:val="00D5742E"/>
    <w:rsid w:val="00D63D33"/>
    <w:rsid w:val="00D67DF0"/>
    <w:rsid w:val="00D73352"/>
    <w:rsid w:val="00D935C3"/>
    <w:rsid w:val="00DA0266"/>
    <w:rsid w:val="00DA477E"/>
    <w:rsid w:val="00DA5AC6"/>
    <w:rsid w:val="00DB4BB0"/>
    <w:rsid w:val="00DE461D"/>
    <w:rsid w:val="00E04039"/>
    <w:rsid w:val="00E14608"/>
    <w:rsid w:val="00E15EBE"/>
    <w:rsid w:val="00E20825"/>
    <w:rsid w:val="00E21E67"/>
    <w:rsid w:val="00E30EBF"/>
    <w:rsid w:val="00E316C0"/>
    <w:rsid w:val="00E31E03"/>
    <w:rsid w:val="00E451CD"/>
    <w:rsid w:val="00E51170"/>
    <w:rsid w:val="00E52D70"/>
    <w:rsid w:val="00E55534"/>
    <w:rsid w:val="00E7116D"/>
    <w:rsid w:val="00E72429"/>
    <w:rsid w:val="00E81F55"/>
    <w:rsid w:val="00E914D1"/>
    <w:rsid w:val="00E95930"/>
    <w:rsid w:val="00E960D8"/>
    <w:rsid w:val="00EB5FCA"/>
    <w:rsid w:val="00EC0467"/>
    <w:rsid w:val="00EE78EA"/>
    <w:rsid w:val="00F048D4"/>
    <w:rsid w:val="00F20920"/>
    <w:rsid w:val="00F23212"/>
    <w:rsid w:val="00F33B16"/>
    <w:rsid w:val="00F353EA"/>
    <w:rsid w:val="00F36C27"/>
    <w:rsid w:val="00F56318"/>
    <w:rsid w:val="00F56CBF"/>
    <w:rsid w:val="00F67C95"/>
    <w:rsid w:val="00F74540"/>
    <w:rsid w:val="00F75B79"/>
    <w:rsid w:val="00F82525"/>
    <w:rsid w:val="00F911CB"/>
    <w:rsid w:val="00F91AC4"/>
    <w:rsid w:val="00F97FEA"/>
    <w:rsid w:val="00FB60E1"/>
    <w:rsid w:val="00FD0254"/>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7"/>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StandardWeb">
    <w:name w:val="Normal (Web)"/>
    <w:basedOn w:val="Standard"/>
    <w:uiPriority w:val="99"/>
    <w:semiHidden/>
    <w:unhideWhenUsed/>
    <w:rsid w:val="00C544B5"/>
    <w:pPr>
      <w:spacing w:before="100" w:beforeAutospacing="1" w:after="100" w:afterAutospacing="1"/>
    </w:pPr>
    <w:rPr>
      <w:rFonts w:ascii="Times New Roman" w:eastAsia="Times New Roman" w:hAnsi="Times New Roman"/>
      <w:sz w:val="24"/>
      <w:szCs w:val="24"/>
      <w:lang w:eastAsia="de-DE"/>
    </w:rPr>
  </w:style>
  <w:style w:type="paragraph" w:styleId="berarbeitung">
    <w:name w:val="Revision"/>
    <w:hidden/>
    <w:uiPriority w:val="71"/>
    <w:semiHidden/>
    <w:rsid w:val="0033090B"/>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xu3nd7NV6G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1392</Words>
  <Characters>8776</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10148</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2021-10-28T15:19:00Z</cp:lastPrinted>
  <dcterms:created xsi:type="dcterms:W3CDTF">2026-05-08T22:21:00Z</dcterms:created>
  <dcterms:modified xsi:type="dcterms:W3CDTF">2026-05-21T07:39:00Z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