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165FD95" w:rsidR="00A27829" w:rsidRPr="00992EA1" w:rsidRDefault="00956222" w:rsidP="00A27829">
      <w:pPr>
        <w:pStyle w:val="Head"/>
      </w:pPr>
      <w:r>
        <w:rPr>
          <w:lang w:val="pt-BR"/>
        </w:rPr>
        <w:t xml:space="preserve">Vögele │ Asfaltamento seguro </w:t>
      </w:r>
    </w:p>
    <w:p w14:paraId="26F0996C" w14:textId="282371AE" w:rsidR="00A46F1E" w:rsidRPr="00CB367F" w:rsidRDefault="00992EA1" w:rsidP="00881E44">
      <w:pPr>
        <w:pStyle w:val="Subhead"/>
        <w:rPr>
          <w:lang w:val="en-GB"/>
        </w:rPr>
      </w:pPr>
      <w:r>
        <w:rPr>
          <w:bCs/>
          <w:iCs w:val="0"/>
          <w:lang w:val="pt-BR"/>
        </w:rPr>
        <w:t>As vibroacabadoras “Traço 5” da Vögele aumentam a segurança dos usuários e reduzem as emissões</w:t>
      </w:r>
    </w:p>
    <w:p w14:paraId="3E0B149D" w14:textId="6D2426B6" w:rsidR="00B81324" w:rsidRPr="00A66E7B" w:rsidRDefault="007A786C" w:rsidP="00B81324">
      <w:pPr>
        <w:pStyle w:val="Teaser"/>
        <w:rPr>
          <w:lang w:val="en-US"/>
        </w:rPr>
      </w:pPr>
      <w:r>
        <w:rPr>
          <w:bCs/>
          <w:lang w:val="pt-BR"/>
        </w:rPr>
        <w:t>Diretrizes mais rigorosas estão dando mais ênfase à saúde e à proteção contra acidentes no setor de construção de estradas no mundo todo. Sendo assim, a Vögele alinhou a geração de vibroacabadoras “Traço 5” à segurança e à saúde do usuário de modo ainda mais consistente: com novas funções, como a colocação em funcionamento a partir do solo, uma iluminação integrada e um sistema de ventilação reformulado.</w:t>
      </w:r>
    </w:p>
    <w:p w14:paraId="275036BA" w14:textId="68B94030" w:rsidR="00AF4DC7" w:rsidRPr="00A66E7B" w:rsidRDefault="00516E96" w:rsidP="00E41B5F">
      <w:pPr>
        <w:pStyle w:val="Standardabsatz"/>
        <w:rPr>
          <w:lang w:val="en-US"/>
        </w:rPr>
      </w:pPr>
      <w:r>
        <w:rPr>
          <w:lang w:val="pt-BR"/>
        </w:rPr>
        <w:t>Nos últimos anos, houve um aumento na conscientização sobre os riscos e os padrões de segurança da pavimentação de asfalto no mundo todo e, com isso, as exigências em relação às vibroacabadoras. Dependendo do país, as empresas construtoras devem cumprir diferentes regulamentações e valores limites de exposição ocupacional. Por isso, para a especialista em vibroacabadoras Vögele, a proteção do operador está sempre no centro de seus desenvolvimentos. “A vibroacabadora não é apenas uma máquina que precisa funcionar no mais alto nível técnico, mas, sobretudo, uma estação de trabalho”, diz Bastian Fleischer, gerente de produtos da Vögele. “A pavimentação eficiente e de alta qualidade só pode ser garantida se os operadores puderem trabalhar com a vibroacabadora de maneira segura, ergonômica e saudável.</w:t>
      </w:r>
      <w:r w:rsidR="00CB367F">
        <w:rPr>
          <w:lang w:val="pt-BR"/>
        </w:rPr>
        <w:t xml:space="preserve"> </w:t>
      </w:r>
      <w:r>
        <w:rPr>
          <w:lang w:val="pt-BR"/>
        </w:rPr>
        <w:t>Portanto, independentemente das regulamentações nacionais específicas, a segurança do usuário está na vanguarda de todos os nossos desenvolvimentos, em especial com a nova geração Traço 5.”</w:t>
      </w:r>
    </w:p>
    <w:p w14:paraId="716084B9" w14:textId="04A8796C" w:rsidR="005F7ABD" w:rsidRPr="00A66E7B" w:rsidRDefault="005F7ABD" w:rsidP="00664455">
      <w:pPr>
        <w:pStyle w:val="Standardabsatz"/>
        <w:spacing w:after="0"/>
        <w:rPr>
          <w:b/>
          <w:bCs/>
          <w:lang w:val="en-US"/>
        </w:rPr>
      </w:pPr>
      <w:r>
        <w:rPr>
          <w:b/>
          <w:bCs/>
          <w:lang w:val="pt-BR"/>
        </w:rPr>
        <w:t>Colocação em funcionamento com o toque de um botão</w:t>
      </w:r>
    </w:p>
    <w:p w14:paraId="704D24CA" w14:textId="5AD06625" w:rsidR="006E4A14" w:rsidRPr="00A66E7B" w:rsidRDefault="00117AF6" w:rsidP="00EA7788">
      <w:pPr>
        <w:pStyle w:val="Standardabsatz"/>
        <w:rPr>
          <w:lang w:val="en-US"/>
        </w:rPr>
      </w:pPr>
      <w:r>
        <w:rPr>
          <w:lang w:val="pt-BR"/>
        </w:rPr>
        <w:t>A Vögele desenvolveu a função automática Paver Access Control (PAC) para tornar os preparativos para a pavimentação mais seguros. Pela unidade de controle localizada na mesa, todos os passos iniciais, tais como a ligação da iluminação, a partida do motor a diesel, a inicialização do comando da máquina, o levantamento e o travamento do teto, bem como o abaixamento da mesa de compactação, são acionados pelo usuário de modo prático, a partir do solo e com o toque de um botão. Ao final do trabalho, a vibroacabadora pode ser colocada na posição de transporte da mesma forma. Isso torna a ativação e a desativação da máquina, assim como o carregamento em uma carregadora de plataforma baixa, mais seguras e convenientes. No escuro, o operador liga a iluminação antes de subir na vibroacabadora e, assim, tem uma ótima visibilidade. Funções como o travamento automático do teto evitam que o operador se esqueça de passos importantes durante a colocação em funcionamento. “O PAC evita erros provocados por descuido e garante confiabilidade absoluta graças à sequência clara das etapas iniciais”, conta Fleischer.</w:t>
      </w:r>
    </w:p>
    <w:p w14:paraId="7BC6B4CC" w14:textId="2497D82E" w:rsidR="0017161B" w:rsidRPr="00A66E7B" w:rsidRDefault="004313DD" w:rsidP="00664455">
      <w:pPr>
        <w:pStyle w:val="Standardabsatz"/>
        <w:spacing w:after="0"/>
        <w:rPr>
          <w:b/>
          <w:bCs/>
          <w:lang w:val="en-US"/>
        </w:rPr>
      </w:pPr>
      <w:r>
        <w:rPr>
          <w:b/>
          <w:bCs/>
          <w:lang w:val="pt-BR"/>
        </w:rPr>
        <w:t xml:space="preserve">Iluminação direcionada sem montagem </w:t>
      </w:r>
    </w:p>
    <w:p w14:paraId="3DEC6614" w14:textId="3B0E40F6" w:rsidR="00AD7E3E" w:rsidRPr="00A66E7B" w:rsidRDefault="00893446" w:rsidP="00EA7788">
      <w:pPr>
        <w:pStyle w:val="Standardabsatz"/>
        <w:rPr>
          <w:lang w:val="en-US"/>
        </w:rPr>
      </w:pPr>
      <w:r>
        <w:rPr>
          <w:lang w:val="pt-BR"/>
        </w:rPr>
        <w:t xml:space="preserve">A iluminação adequada dentro e ao redor da vibroacabadora é outro fator de segurança em canteiros de obras noturnos, em locais com pouca visibilidade ou em túneis. É por isso que a Vögele otimizou o conceito de iluminação da geração Traço 5: As luzes LED integradas iluminam de forma ainda melhor a plataforma de operação e todos os pontos de serviço acessíveis a partir dela. A iluminação dos cilindros de nivelamento e os faróis livremente posicionáveis garantem uma boa visão de todas as áreas relevantes. Em vez dos balões de iluminação, os novos modelos também podem ser </w:t>
      </w:r>
      <w:r>
        <w:rPr>
          <w:lang w:val="pt-BR"/>
        </w:rPr>
        <w:lastRenderedPageBreak/>
        <w:t>equipados com refletores de LED adicionais que são instalados permanentemente na extensão do teto. Eles iluminam de maneira uniforme toda a área de trabalho até quatro metros atrás da mesa e até uma largura de pavimentação de dez metros. Ao final do trabalho, a iluminação é desligada automaticamente usando a função de cronometragem, o que dá ao operador tempo suficiente para deixar o canteiro de obras com segurança. “O novo conceito de iluminação reduz o risco de acidentes e erros operacionais porque as potentes luzes de LED iluminam precisamente as áreas relevantes para o colocação em funcionamento, a pavimentação ou a manutenção”, conta Fleischer. “Além disso, a equipe de pavimentação não precisa transportar fontes de luz separadas e montá-las em campo. Isso minimiza o risco de acidentes e economiza tempo ao eliminar os períodos de preparo e de inatividade.”</w:t>
      </w:r>
    </w:p>
    <w:p w14:paraId="78561093" w14:textId="47685F0C" w:rsidR="000252B4" w:rsidRPr="00A66E7B" w:rsidRDefault="00AF476B" w:rsidP="00664455">
      <w:pPr>
        <w:pStyle w:val="Standardabsatz"/>
        <w:spacing w:after="0"/>
        <w:rPr>
          <w:b/>
          <w:bCs/>
          <w:lang w:val="en-US"/>
        </w:rPr>
      </w:pPr>
      <w:r>
        <w:rPr>
          <w:b/>
          <w:bCs/>
          <w:lang w:val="pt-BR"/>
        </w:rPr>
        <w:t>Menos barulho, menos emissões</w:t>
      </w:r>
    </w:p>
    <w:p w14:paraId="050BAA3E" w14:textId="32C97EE0" w:rsidR="00C9441C" w:rsidRPr="00A66E7B" w:rsidRDefault="00C64708" w:rsidP="00D54FEC">
      <w:pPr>
        <w:pStyle w:val="Standardabsatz"/>
        <w:rPr>
          <w:lang w:val="en-US"/>
        </w:rPr>
      </w:pPr>
      <w:r>
        <w:rPr>
          <w:lang w:val="pt-BR"/>
        </w:rPr>
        <w:t>As vibroacabadoras “Traço 5” também oferecem aos usuários uma melhor proteção da saúde e um melhor equilíbrio de sustentabilidade às empresas de construção de estradas. Isso ocorre porque a Vögele reduziu ainda mais as emissões de ruído e de CO₂ com o mesmo rendimento do motor. O motivo para isso é o acionamento reformulado com o pacote de redução de emissões EcoPlus otimizado: assim como na geração anterior, vários recursos técnicos garantem menor consumo de combustível e menos emissões. Na geração Traço 5, no entanto, a Vögele otimizou o ventilador com regulagem do número de rotações para que sua velocidade seja calculada com mais precisão e aumentada apenas na medida necessária para a operação segura da máquina. Isso reduz consideravelmente o ruído e as emissões de CO₂, bem como o consumo de combustível.</w:t>
      </w:r>
    </w:p>
    <w:p w14:paraId="33E1C298" w14:textId="684D475B" w:rsidR="002810AD" w:rsidRPr="00A66E7B" w:rsidRDefault="00AF476B" w:rsidP="00664455">
      <w:pPr>
        <w:pStyle w:val="Standardabsatz"/>
        <w:spacing w:after="0"/>
        <w:rPr>
          <w:b/>
          <w:bCs/>
          <w:lang w:val="en-US"/>
        </w:rPr>
      </w:pPr>
      <w:r>
        <w:rPr>
          <w:b/>
          <w:bCs/>
          <w:lang w:val="pt-BR"/>
        </w:rPr>
        <w:t>Exposição reduzida</w:t>
      </w:r>
    </w:p>
    <w:p w14:paraId="77040500" w14:textId="2FDC3A42" w:rsidR="00772179" w:rsidRPr="00A66E7B" w:rsidRDefault="00A5354A" w:rsidP="00D54FEC">
      <w:pPr>
        <w:pStyle w:val="Standardabsatz"/>
        <w:rPr>
          <w:lang w:val="en-US"/>
        </w:rPr>
      </w:pPr>
      <w:r>
        <w:rPr>
          <w:lang w:val="pt-BR"/>
        </w:rPr>
        <w:t>Para proteger os operadores de pavimentação de asfalto de forma ainda mais eficiente contra aerossóis, a Vögele também aperfeiçoou o sistema de ventilação das vibroacabadoras. “Há muitos anos oferecemos um sistema de exaustão certificado pelo NIOSH para nossas máquinas”, diz Steffen Fickeisen, diretor de máquinas especiais da Vögele. “Com a geração Traço 5, elevamos significativamente o desempenho da exaustão mais uma vez e otimizamos a saída: agora ela está integrada ao teto da vibroacabadora em vez de ficar na parte traseira da plataforma do operador, o que reduz ainda mais a exposição do operador.” Outras otimizações estão sendo implementadas no momento. “Desse modo, não apenas equiparemos nossas máquinas mais recentes com elas, mas também ofereceremos um pacote de retrofit para os modelos Traço 3”, explica Fickeisen.</w:t>
      </w:r>
    </w:p>
    <w:p w14:paraId="6D93F441" w14:textId="05D4591C" w:rsidR="00A5354A" w:rsidRPr="00A66E7B" w:rsidRDefault="00161E70" w:rsidP="00664455">
      <w:pPr>
        <w:pStyle w:val="Standardabsatz"/>
        <w:spacing w:after="0"/>
        <w:rPr>
          <w:b/>
          <w:bCs/>
          <w:lang w:val="en-US"/>
        </w:rPr>
      </w:pPr>
      <w:r>
        <w:rPr>
          <w:b/>
          <w:bCs/>
          <w:lang w:val="pt-BR"/>
        </w:rPr>
        <w:t>Mais ergonomia e mais organização</w:t>
      </w:r>
    </w:p>
    <w:p w14:paraId="4383C493" w14:textId="2EB3BECF" w:rsidR="00230D39" w:rsidRPr="00A66E7B" w:rsidRDefault="005B5619" w:rsidP="00F56B44">
      <w:pPr>
        <w:pStyle w:val="Standardabsatz"/>
        <w:rPr>
          <w:lang w:val="en-US"/>
        </w:rPr>
      </w:pPr>
      <w:r>
        <w:rPr>
          <w:lang w:val="pt-BR"/>
        </w:rPr>
        <w:t xml:space="preserve">Além de soluções técnicas para reduzir a exposição a emissões, melhor iluminação e novas funções automáticas, a Vögele apoia a saúde e a segurança dos usuários ao melhorar a ergonomia e a organização. Com o conceito operacional ErgoPlus 5 aprimorado, novas funções de conforto, assentos do operador giratórios, aquecimento dos assentos em dois níveis, toldos isolados, porta-copos e redes porta-objetos, as vibroacabadoras Traço 5 são sistematicamente voltadas para as necessidades dos usuários. O porta-ferramentas encaixável, as novas soluções de transporte, como o Logistic Plus, e os auxiliares de montagem e posicionamento garantem uma estação de trabalho organizada, um transporte seguro e menos erros durante a montagem. “Nosso objetivo é usar as novas vibroacabadoras para atender a todos os requisitos para condições de trabalho ideais e, assim, aumentar a qualidade dos projetos de </w:t>
      </w:r>
      <w:r>
        <w:rPr>
          <w:lang w:val="pt-BR"/>
        </w:rPr>
        <w:lastRenderedPageBreak/>
        <w:t>pavimentação e a produtividade das empresas de construção de estradas”, diz Fleischer.</w:t>
      </w:r>
    </w:p>
    <w:p w14:paraId="181B3248" w14:textId="77777777" w:rsidR="0077269D" w:rsidRPr="00A66E7B" w:rsidRDefault="0077269D" w:rsidP="00E15EBE">
      <w:pPr>
        <w:pStyle w:val="Fotos"/>
        <w:rPr>
          <w:lang w:val="en-US"/>
        </w:rPr>
      </w:pPr>
    </w:p>
    <w:p w14:paraId="0A0F2281" w14:textId="77777777" w:rsidR="00A634C1" w:rsidRPr="00A66E7B" w:rsidRDefault="00A634C1" w:rsidP="00E15EBE">
      <w:pPr>
        <w:pStyle w:val="Fotos"/>
        <w:rPr>
          <w:lang w:val="en-US"/>
        </w:rPr>
      </w:pPr>
    </w:p>
    <w:p w14:paraId="4A12FD4D" w14:textId="328917E5" w:rsidR="00D857F6" w:rsidRDefault="00E15EBE" w:rsidP="00D857F6">
      <w:pPr>
        <w:pStyle w:val="Fotos"/>
      </w:pPr>
      <w:r>
        <w:rPr>
          <w:bCs/>
          <w:lang w:val="pt-BR"/>
        </w:rPr>
        <w:t>Fotos:</w:t>
      </w:r>
    </w:p>
    <w:p w14:paraId="20879CE4" w14:textId="60591A5A" w:rsidR="002611FE" w:rsidRPr="00E7537C" w:rsidRDefault="008B5353" w:rsidP="002611FE">
      <w:pPr>
        <w:pStyle w:val="BUbold"/>
      </w:pPr>
      <w:r>
        <w:rPr>
          <w:bCs/>
          <w:noProof/>
          <w:lang w:val="pt-BR"/>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A66E7B" w:rsidRDefault="001E47C0" w:rsidP="001E47C0">
      <w:pPr>
        <w:pStyle w:val="BUbold"/>
        <w:rPr>
          <w:lang w:val="en-US"/>
        </w:rPr>
      </w:pPr>
      <w:r>
        <w:rPr>
          <w:bCs/>
          <w:lang w:val="pt-BR"/>
        </w:rPr>
        <w:t>JV_Operators_Safety_001_PR</w:t>
      </w:r>
    </w:p>
    <w:p w14:paraId="0439197E" w14:textId="60766BE9" w:rsidR="00412CB3" w:rsidRPr="00A66E7B" w:rsidRDefault="00005A45" w:rsidP="00412CB3">
      <w:pPr>
        <w:pStyle w:val="BUnormal"/>
        <w:rPr>
          <w:lang w:val="en-US"/>
        </w:rPr>
      </w:pPr>
      <w:r>
        <w:rPr>
          <w:lang w:val="pt-BR"/>
        </w:rPr>
        <w:t>A Vögele desenvolveu a função automática Paver Access Control (PAC) para tornar os preparativos para a pavimentação mais seguros.</w:t>
      </w:r>
    </w:p>
    <w:p w14:paraId="01A03F76" w14:textId="0BC81767" w:rsidR="00D90077" w:rsidRDefault="00D90077" w:rsidP="00D90077">
      <w:pPr>
        <w:pStyle w:val="BUbold"/>
        <w:rPr>
          <w:noProof/>
        </w:rPr>
      </w:pPr>
      <w:r>
        <w:rPr>
          <w:bCs/>
          <w:noProof/>
          <w:lang w:val="pt-BR"/>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Pr="00A66E7B" w:rsidRDefault="00D90077" w:rsidP="00D90077">
      <w:pPr>
        <w:pStyle w:val="BUbold"/>
        <w:rPr>
          <w:noProof/>
          <w:lang w:val="en-US"/>
        </w:rPr>
      </w:pPr>
      <w:r>
        <w:rPr>
          <w:bCs/>
          <w:noProof/>
          <w:lang w:val="pt-BR"/>
        </w:rPr>
        <w:t>JV_Operators_Safety_002_PR</w:t>
      </w:r>
    </w:p>
    <w:p w14:paraId="49CF809F" w14:textId="388632B2" w:rsidR="00F756C2" w:rsidRPr="00A66E7B" w:rsidRDefault="00D90077" w:rsidP="00F756C2">
      <w:pPr>
        <w:pStyle w:val="BUbold"/>
        <w:spacing w:after="220"/>
        <w:rPr>
          <w:b w:val="0"/>
          <w:bCs/>
          <w:noProof/>
          <w:lang w:val="en-US"/>
        </w:rPr>
      </w:pPr>
      <w:r>
        <w:rPr>
          <w:b w:val="0"/>
          <w:noProof/>
          <w:lang w:val="pt-BR"/>
        </w:rPr>
        <w:t>Pela unidade de controle localizada na mesa, todos os passos iniciais são acionados pelo usuário a partir do solo, com o toque de um botão.</w:t>
      </w:r>
    </w:p>
    <w:p w14:paraId="29E92010" w14:textId="5257E0FB" w:rsidR="00BD25D1" w:rsidRDefault="008B5353" w:rsidP="00BD25D1">
      <w:pPr>
        <w:pStyle w:val="BUbold"/>
      </w:pPr>
      <w:r>
        <w:rPr>
          <w:bCs/>
          <w:noProof/>
          <w:lang w:val="pt-BR"/>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A66E7B" w:rsidRDefault="001E47C0" w:rsidP="001E47C0">
      <w:pPr>
        <w:pStyle w:val="BUbold"/>
        <w:rPr>
          <w:lang w:val="en-US"/>
        </w:rPr>
      </w:pPr>
      <w:r>
        <w:rPr>
          <w:bCs/>
          <w:lang w:val="pt-BR"/>
        </w:rPr>
        <w:t>JV_Operators_Safety_003_PR</w:t>
      </w:r>
    </w:p>
    <w:p w14:paraId="5ACEB4BA" w14:textId="59FDBAE3" w:rsidR="00DE4B85" w:rsidRPr="00A66E7B" w:rsidRDefault="00412CB3" w:rsidP="00DE4B85">
      <w:pPr>
        <w:pStyle w:val="BUnormal"/>
        <w:rPr>
          <w:lang w:val="en-US"/>
        </w:rPr>
      </w:pPr>
      <w:r>
        <w:rPr>
          <w:lang w:val="pt-BR"/>
        </w:rPr>
        <w:t>Luz como fator de segurança: os refletores de LED iluminam de maneira uniforme toda a área de trabalho até quatro metros atrás da mesa e até uma largura de pavimentação de dez metros.</w:t>
      </w:r>
    </w:p>
    <w:p w14:paraId="5F5D59E2" w14:textId="722E15CC" w:rsidR="008B5353" w:rsidRPr="00EF12D9" w:rsidRDefault="00DE4B85" w:rsidP="008B5353">
      <w:pPr>
        <w:pStyle w:val="BUbold"/>
        <w:rPr>
          <w:i/>
          <w:iCs/>
        </w:rPr>
      </w:pPr>
      <w:r>
        <w:rPr>
          <w:bCs/>
          <w:noProof/>
          <w:lang w:val="pt-BR"/>
        </w:rPr>
        <w:lastRenderedPageBreak/>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A66E7B" w:rsidRDefault="001E47C0" w:rsidP="001E47C0">
      <w:pPr>
        <w:pStyle w:val="BUbold"/>
        <w:rPr>
          <w:lang w:val="en-US"/>
        </w:rPr>
      </w:pPr>
      <w:r>
        <w:rPr>
          <w:bCs/>
          <w:lang w:val="pt-BR"/>
        </w:rPr>
        <w:t>JV_Operators_Safety_004_PR</w:t>
      </w:r>
    </w:p>
    <w:p w14:paraId="5145613A" w14:textId="4CA2A5FF" w:rsidR="003E3970" w:rsidRPr="00A66E7B" w:rsidRDefault="00712C1F" w:rsidP="003E3970">
      <w:pPr>
        <w:pStyle w:val="BUnormal"/>
        <w:rPr>
          <w:lang w:val="en-US"/>
        </w:rPr>
      </w:pPr>
      <w:r>
        <w:rPr>
          <w:lang w:val="pt-BR"/>
        </w:rPr>
        <w:t>Pacote de redução de emissões EcoPlus: na geração Traço 5, a Vögele otimizou o ventilador com controle de velocidade para que as temperaturas do ar de carga do motor, da água de refrigeração e do óleo hidráulico sejam monitoradas individualmente. Com isso, a velocidade do ventilador pode ser calculada com ainda mais precisão e aumentada apenas na medida necessária para a operação segura da máquina.</w:t>
      </w:r>
    </w:p>
    <w:p w14:paraId="3B2267BC" w14:textId="77777777" w:rsidR="008B5353" w:rsidRPr="00A66E7B" w:rsidRDefault="008B5353" w:rsidP="008B5353">
      <w:pPr>
        <w:pStyle w:val="BUnormal"/>
        <w:rPr>
          <w:lang w:val="en-US"/>
        </w:rPr>
      </w:pPr>
    </w:p>
    <w:p w14:paraId="4FD546A1" w14:textId="27389F0C" w:rsidR="008A2389" w:rsidRPr="00A66E7B" w:rsidRDefault="00664455" w:rsidP="008A2389">
      <w:pPr>
        <w:pStyle w:val="BUbold"/>
        <w:rPr>
          <w:lang w:val="en-US"/>
        </w:rPr>
      </w:pPr>
      <w:r>
        <w:rPr>
          <w:b w:val="0"/>
          <w:noProof/>
          <w:lang w:val="pt-BR"/>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pt-BR"/>
        </w:rPr>
        <w:br/>
      </w:r>
      <w:r>
        <w:rPr>
          <w:bCs/>
          <w:lang w:val="pt-BR"/>
        </w:rPr>
        <w:t>JV_Operators_Safety_005_PR</w:t>
      </w:r>
    </w:p>
    <w:p w14:paraId="6BF653BD" w14:textId="143F0B83" w:rsidR="00550806" w:rsidRPr="00A66E7B" w:rsidRDefault="00550806" w:rsidP="00550806">
      <w:pPr>
        <w:pStyle w:val="BUnormal"/>
        <w:rPr>
          <w:lang w:val="en-US"/>
        </w:rPr>
      </w:pPr>
      <w:r>
        <w:rPr>
          <w:lang w:val="pt-BR"/>
        </w:rPr>
        <w:t>Para proteger os operadores de forma mais eficiente contra aerossóis, a Vögele aperfeiçoou o sistema de ventilação. A capacidade de exaustão é significativamente maior, e a saída é integrada ao teto da vibroacabadora, o que reduz de maneira substancial a exposição do operador.</w:t>
      </w:r>
    </w:p>
    <w:p w14:paraId="04824B2F" w14:textId="40ABD3F4" w:rsidR="00F74540" w:rsidRDefault="002611FE" w:rsidP="00A66E7B">
      <w:pPr>
        <w:pStyle w:val="BUnormal"/>
        <w:rPr>
          <w:i/>
          <w:iCs/>
          <w:lang w:val="pt-BR"/>
        </w:rPr>
      </w:pPr>
      <w:r>
        <w:rPr>
          <w:lang w:val="pt-BR"/>
        </w:rPr>
        <w:br/>
      </w:r>
      <w:r w:rsidR="00E15EBE">
        <w:rPr>
          <w:i/>
          <w:iCs/>
          <w:lang w:val="pt-BR"/>
        </w:rPr>
        <w:t xml:space="preserve">Observação: Essas fotos servem apenas para a visualização prévia. Para impressão nas publicações, devem ser utilizadas as fotos em resolução de 300 dpi, disponíveis para download no site da Wirtgen GmbH /do </w:t>
      </w:r>
      <w:r w:rsidR="00E15EBE">
        <w:rPr>
          <w:lang w:val="pt-BR"/>
        </w:rPr>
        <w:t>Wirtgen Group</w:t>
      </w:r>
      <w:r w:rsidR="00E15EBE">
        <w:rPr>
          <w:i/>
          <w:iCs/>
          <w:lang w:val="pt-BR"/>
        </w:rPr>
        <w:t>.</w:t>
      </w:r>
    </w:p>
    <w:p w14:paraId="714D9D7F" w14:textId="77777777" w:rsidR="00A66E7B" w:rsidRPr="00A66E7B" w:rsidRDefault="00A66E7B" w:rsidP="00A66E7B">
      <w:pPr>
        <w:pStyle w:val="Note"/>
        <w:rPr>
          <w:lang w:val="pt-BR"/>
        </w:rPr>
      </w:pPr>
    </w:p>
    <w:p w14:paraId="55931FB8" w14:textId="77777777" w:rsidR="00E15EBE" w:rsidRPr="00A66E7B" w:rsidRDefault="00E15EBE" w:rsidP="00E15EBE">
      <w:pPr>
        <w:pStyle w:val="Absatzberschrift"/>
        <w:rPr>
          <w:iCs/>
          <w:lang w:val="en-US"/>
        </w:rPr>
      </w:pPr>
      <w:r>
        <w:rPr>
          <w:bCs/>
          <w:lang w:val="pt-BR"/>
        </w:rPr>
        <w:t>Para mais informações, entre em contato com:</w:t>
      </w:r>
    </w:p>
    <w:p w14:paraId="0834BAC7" w14:textId="77777777" w:rsidR="00E15EBE" w:rsidRPr="00A66E7B"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pt-BR"/>
        </w:rPr>
        <w:t>WIRTGEN GROUP</w:t>
      </w:r>
    </w:p>
    <w:p w14:paraId="6C2CE818" w14:textId="77777777" w:rsidR="00E15EBE" w:rsidRDefault="00E15EBE" w:rsidP="00E15EBE">
      <w:pPr>
        <w:pStyle w:val="Fuzeile1"/>
      </w:pPr>
      <w:r>
        <w:rPr>
          <w:bCs w:val="0"/>
          <w:iCs w:val="0"/>
          <w:lang w:val="pt-BR"/>
        </w:rPr>
        <w:t>Public Relations</w:t>
      </w:r>
    </w:p>
    <w:p w14:paraId="11D0C008" w14:textId="77777777" w:rsidR="00E15EBE" w:rsidRDefault="00E15EBE" w:rsidP="00E15EBE">
      <w:pPr>
        <w:pStyle w:val="Fuzeile1"/>
      </w:pPr>
      <w:r>
        <w:rPr>
          <w:bCs w:val="0"/>
          <w:iCs w:val="0"/>
          <w:lang w:val="pt-BR"/>
        </w:rPr>
        <w:t>Reinhard-Wirtgen-Straße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Alemanha</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pt-BR"/>
        </w:rPr>
        <w:t>Telefone: +49 (0) 2645 131 – 1966</w:t>
      </w:r>
    </w:p>
    <w:p w14:paraId="65F4C38F" w14:textId="77777777" w:rsidR="00E15EBE" w:rsidRDefault="00E15EBE" w:rsidP="00E15EBE">
      <w:pPr>
        <w:pStyle w:val="Fuzeile1"/>
      </w:pPr>
      <w:r>
        <w:rPr>
          <w:bCs w:val="0"/>
          <w:iCs w:val="0"/>
          <w:lang w:val="pt-BR"/>
        </w:rPr>
        <w:t>Fax: +49 (0) 2645 131 – 499</w:t>
      </w:r>
    </w:p>
    <w:p w14:paraId="79FF3B7C" w14:textId="5A9F2589" w:rsidR="00E15EBE" w:rsidRDefault="00E15EBE" w:rsidP="00E15EBE">
      <w:pPr>
        <w:pStyle w:val="Fuzeile1"/>
      </w:pPr>
      <w:r>
        <w:rPr>
          <w:bCs w:val="0"/>
          <w:iCs w:val="0"/>
          <w:lang w:val="pt-BR"/>
        </w:rPr>
        <w:t>E-mail: PR@wirtgen-group.com</w:t>
      </w:r>
    </w:p>
    <w:p w14:paraId="3D604A55" w14:textId="53BC3A5B" w:rsidR="00F048D4" w:rsidRPr="00F74540" w:rsidRDefault="00E15EBE" w:rsidP="00F74540">
      <w:pPr>
        <w:pStyle w:val="Fuzeile1"/>
      </w:pPr>
      <w:r>
        <w:rPr>
          <w:bCs w:val="0"/>
          <w:iCs w:val="0"/>
          <w:lang w:val="pt-BR"/>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pt-BR"/>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pt-BR"/>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pt-BR"/>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66E7B"/>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367F"/>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1184</Words>
  <Characters>7464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8631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12</cp:revision>
  <cp:lastPrinted>2021-10-28T15:19:00Z</cp:lastPrinted>
  <dcterms:created xsi:type="dcterms:W3CDTF">2024-07-19T11:45:00Z</dcterms:created>
  <dcterms:modified xsi:type="dcterms:W3CDTF">2024-08-27T08:46:00Z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