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C5C50C9" w:rsidR="00A27829" w:rsidRPr="00992EA1" w:rsidRDefault="00956222" w:rsidP="00A27829">
      <w:pPr>
        <w:pStyle w:val="Head"/>
      </w:pPr>
      <w:r>
        <w:rPr>
          <w:lang w:val="fr-FR"/>
        </w:rPr>
        <w:t xml:space="preserve">Vögele │ Une pose d’enrobé sûre </w:t>
      </w:r>
    </w:p>
    <w:p w14:paraId="26F0996C" w14:textId="282371AE" w:rsidR="00A46F1E" w:rsidRPr="0083184E" w:rsidRDefault="00992EA1" w:rsidP="00881E44">
      <w:pPr>
        <w:pStyle w:val="Subhead"/>
        <w:rPr>
          <w:lang w:val="en-GB"/>
        </w:rPr>
      </w:pPr>
      <w:r>
        <w:rPr>
          <w:bCs/>
          <w:iCs w:val="0"/>
          <w:lang w:val="fr-FR"/>
        </w:rPr>
        <w:t>Les finisseurs de routes Strich 5 de Vögele augmentent la sécurité des utilisateurs tout en réduisant les émissions nocives</w:t>
      </w:r>
    </w:p>
    <w:p w14:paraId="3E0B149D" w14:textId="6D2426B6" w:rsidR="00B81324" w:rsidRPr="00FE2F78" w:rsidRDefault="007A786C" w:rsidP="00B81324">
      <w:pPr>
        <w:pStyle w:val="Teaser"/>
        <w:rPr>
          <w:lang w:val="fr-FR"/>
        </w:rPr>
      </w:pPr>
      <w:r>
        <w:rPr>
          <w:bCs/>
          <w:lang w:val="fr-FR"/>
        </w:rPr>
        <w:t>Des directives plus strictes renforcent l’attention portée à la protection contre les accidents et à la santé dans la construction routière dans le monde entier. C’est pourquoi Vögele a résolument axé sa dernière génération de finisseurs, les Strich 5, sur la sécurité et la santé des utilisateurs avec de nouvelles fonctions comme la mise en service à partir du sol, un éclairage intégré et un système de ventilation amélioré.</w:t>
      </w:r>
    </w:p>
    <w:p w14:paraId="275036BA" w14:textId="0C941779" w:rsidR="00AF4DC7" w:rsidRPr="00FE2F78" w:rsidRDefault="00516E96" w:rsidP="00E41B5F">
      <w:pPr>
        <w:pStyle w:val="Standardabsatz"/>
        <w:rPr>
          <w:lang w:val="fr-FR"/>
        </w:rPr>
      </w:pPr>
      <w:r>
        <w:rPr>
          <w:lang w:val="fr-FR"/>
        </w:rPr>
        <w:t>Ces dernières années, on a observé partout dans le monde une forte prise de conscience concernant les dangers et les normes de sécurité liés à la pose d’enrobé, ce qui a fait évoluer les attentes au niveau des finisseurs. D’un pays à l’autre, les entreprises de construction doivent respecter des réglementations et des limites d’exposition des postes de travail différentes. Pour Vögele, le spécialiste des finisseurs, la protection des utilisateurs est donc au cœur de tous ses produits. « Le finisseur n’est pas seulement une machine qui doit fonctionner impeccablement sur le plan technique, c’est avant tout un poste de travail », explique Bastian Fleischer, chef de produit chez Vögele. Les utilisateurs ne peuvent poser des enrobés efficacement et correctement que s’ils peuvent travailler avec le finisseur en toute sécurité, de manière ergonomique et dans le respect de leur santé. C’est pourquoi quelles que soient les réglementations nationales spécifiques, la sécurité de l’utilisateur est au premier plan de tous nos produits, notamment ceux de la nouvelle génération Strich 5.</w:t>
      </w:r>
    </w:p>
    <w:p w14:paraId="716084B9" w14:textId="04A8796C" w:rsidR="005F7ABD" w:rsidRPr="00FE2F78" w:rsidRDefault="005F7ABD" w:rsidP="00664455">
      <w:pPr>
        <w:pStyle w:val="Standardabsatz"/>
        <w:spacing w:after="0"/>
        <w:rPr>
          <w:b/>
          <w:bCs/>
          <w:lang w:val="en-US"/>
        </w:rPr>
      </w:pPr>
      <w:r>
        <w:rPr>
          <w:b/>
          <w:bCs/>
          <w:lang w:val="fr-FR"/>
        </w:rPr>
        <w:t>Mise en service par simple pression sur un bouton</w:t>
      </w:r>
    </w:p>
    <w:p w14:paraId="704D24CA" w14:textId="529D3DF0" w:rsidR="006E4A14" w:rsidRPr="00FE2F78" w:rsidRDefault="00117AF6" w:rsidP="00EA7788">
      <w:pPr>
        <w:pStyle w:val="Standardabsatz"/>
        <w:rPr>
          <w:lang w:val="en-US"/>
        </w:rPr>
      </w:pPr>
      <w:r>
        <w:rPr>
          <w:lang w:val="fr-FR"/>
        </w:rPr>
        <w:t>Pour rendre la pose plus sûre dès sa préparation, Vögele a mis au point la fonction automatique Paver Access Control (PAC). Grâce à l’unité de commande placée sur la table de pose, les utilisateurs peuvent lancer toutes les étapes initiales depuis le sol en appuyant sur un bouton, comme l’allumage de l’éclairage, le démarrage du moteur diesel, le démarrage de la commande de la machine, le redressement et le verrouillage du toit ou encore l’abaissement de la table de pose. Une fois le travail terminé, on peut remettre le finisseur en position de transport de la même manière. Cela rend la mise en service et hors service ainsi que le chargement sur un plateau surbaissé plus sûrs et plus confortables. S’il fait sombre, l’opérateur peut allumer l’éclairage avant de monter sur le finisseur et bénéficie ainsi d’une visibilité parfaite. Des fonctions comme le verrouillage automatique du toit empêchent l’utilisateur d’oublier des étapes importantes lors de la mise en service. « Le PAC évite les erreurs d’inattention et offre une fiabilité absolue grâce à une séquence claire d’étapes initiales », résume Bastian Fleischer.</w:t>
      </w:r>
    </w:p>
    <w:p w14:paraId="7BC6B4CC" w14:textId="2497D82E" w:rsidR="0017161B" w:rsidRPr="00FE2F78" w:rsidRDefault="004313DD" w:rsidP="00664455">
      <w:pPr>
        <w:pStyle w:val="Standardabsatz"/>
        <w:spacing w:after="0"/>
        <w:rPr>
          <w:b/>
          <w:bCs/>
          <w:lang w:val="en-US"/>
        </w:rPr>
      </w:pPr>
      <w:r>
        <w:rPr>
          <w:b/>
          <w:bCs/>
          <w:lang w:val="fr-FR"/>
        </w:rPr>
        <w:t xml:space="preserve">Un éclairage ciblé sans montage </w:t>
      </w:r>
    </w:p>
    <w:p w14:paraId="3DEC6614" w14:textId="3B0E40F6" w:rsidR="00AD7E3E" w:rsidRPr="00FE2F78" w:rsidRDefault="00893446" w:rsidP="00EA7788">
      <w:pPr>
        <w:pStyle w:val="Standardabsatz"/>
        <w:rPr>
          <w:lang w:val="fr-FR"/>
        </w:rPr>
      </w:pPr>
      <w:r>
        <w:rPr>
          <w:lang w:val="fr-FR"/>
        </w:rPr>
        <w:t xml:space="preserve">Sur les chantiers de nuit, lorsque la visibilité est mauvaise ou dans les tunnels, il est plus sûr de disposer d’un éclairage suffisant sur et autour du finisseur. C’est pourquoi Vögele a amélioré le concept d’éclairage de la génération Strich 5 : un éclairage LED intégré apporte encore plus de lumière au poste de conduite et à tous les endroits utiles qui sont accessibles depuis ce poste. L’éclairage des vérins de nivellement ainsi que les projecteurs à positionnement libre offrent une bonne visibilité à tous les </w:t>
      </w:r>
      <w:r>
        <w:rPr>
          <w:lang w:val="fr-FR"/>
        </w:rPr>
        <w:lastRenderedPageBreak/>
        <w:t>endroits voulus. Au lieu des ballons éclairants, les nouveaux modèles peuvent également être équipés de projecteurs LED supplémentaires fixés sur l’extension du toit. Ils éclairent uniformément toute la zone de travail jusqu’à quatre mètres derrière la table et jusqu’à une largeur de pose de dix mètres. À la fin du travail, l’éclairage s’éteint automatiquement grâce à la minuterie, laissant à l’utilisateur suffisamment de temps pour quitter le chantier en toute sécurité. « Le nouveau concept d’éclairage réduit le risque d’accident et d’erreur de commande, car les LED puissantes éclairent précisément les zones utiles pour la mise en service, la pose ou les opérations de maintenance », explique Bastian Fleischer. « De plus, l’équipe chargée de la pose n’a pas besoin de transporter et de monter des lampes séparées sur le chantier. Cela permet de réduire les risques d’accident et de gagner du temps en éliminant les temps de préparation et de fonctionnement au ralenti. »</w:t>
      </w:r>
    </w:p>
    <w:p w14:paraId="78561093" w14:textId="47685F0C" w:rsidR="000252B4" w:rsidRPr="00FE2F78" w:rsidRDefault="00AF476B" w:rsidP="00664455">
      <w:pPr>
        <w:pStyle w:val="Standardabsatz"/>
        <w:spacing w:after="0"/>
        <w:rPr>
          <w:b/>
          <w:bCs/>
          <w:lang w:val="fr-FR"/>
        </w:rPr>
      </w:pPr>
      <w:r>
        <w:rPr>
          <w:b/>
          <w:bCs/>
          <w:lang w:val="fr-FR"/>
        </w:rPr>
        <w:t>Moins de bruit, moins d’émissions</w:t>
      </w:r>
    </w:p>
    <w:p w14:paraId="050BAA3E" w14:textId="32C97EE0" w:rsidR="00C9441C" w:rsidRPr="00FE2F78" w:rsidRDefault="00C64708" w:rsidP="00D54FEC">
      <w:pPr>
        <w:pStyle w:val="Standardabsatz"/>
        <w:rPr>
          <w:lang w:val="en-US"/>
        </w:rPr>
      </w:pPr>
      <w:r>
        <w:rPr>
          <w:lang w:val="fr-FR"/>
        </w:rPr>
        <w:t>Les finisseurs de routes Strich 5 permettent également de mieux protéger la santé des utilisateurs et d’améliorer le bilan de durabilité des entreprises de construction routière. En effet, Vögele a encore réduit le bruit et les émissions de CO</w:t>
      </w:r>
      <w:r>
        <w:rPr>
          <w:vertAlign w:val="subscript"/>
          <w:lang w:val="fr-FR"/>
        </w:rPr>
        <w:t>2</w:t>
      </w:r>
      <w:r>
        <w:rPr>
          <w:lang w:val="fr-FR"/>
        </w:rPr>
        <w:t>, le tout sans toucher à la puissance du moteur. Pour cela, l’entraînement a été remanié et doté de l’équipement de réduction des émissions EcoPlus : comme pour la génération précédente, plusieurs caractéristiques techniques permettent de réduire la consommation et les émissions. Mais pour la génération Strich 5, Vögele a amélioré le ventilateur à vitesse variable de manière à ce que sa vitesse soit calculée plus précisément et qu’elle ne soit augmentée que dans la mesure nécessaire pour garantir le bon fonctionnement de la machine. Cela permet de réduire notablement le bruit, les émissions de CO</w:t>
      </w:r>
      <w:r>
        <w:rPr>
          <w:vertAlign w:val="subscript"/>
          <w:lang w:val="fr-FR"/>
        </w:rPr>
        <w:t>2</w:t>
      </w:r>
      <w:r>
        <w:rPr>
          <w:lang w:val="fr-FR"/>
        </w:rPr>
        <w:t xml:space="preserve"> ainsi que la consommation.</w:t>
      </w:r>
    </w:p>
    <w:p w14:paraId="33E1C298" w14:textId="684D475B" w:rsidR="002810AD" w:rsidRPr="00FE2F78" w:rsidRDefault="00AF476B" w:rsidP="00664455">
      <w:pPr>
        <w:pStyle w:val="Standardabsatz"/>
        <w:spacing w:after="0"/>
        <w:rPr>
          <w:b/>
          <w:bCs/>
          <w:lang w:val="en-US"/>
        </w:rPr>
      </w:pPr>
      <w:r>
        <w:rPr>
          <w:b/>
          <w:bCs/>
          <w:lang w:val="fr-FR"/>
        </w:rPr>
        <w:t>Une exposition plus faible</w:t>
      </w:r>
    </w:p>
    <w:p w14:paraId="77040500" w14:textId="5F883680" w:rsidR="00772179" w:rsidRPr="00FE2F78" w:rsidRDefault="00A5354A" w:rsidP="00D54FEC">
      <w:pPr>
        <w:pStyle w:val="Standardabsatz"/>
        <w:rPr>
          <w:lang w:val="en-US"/>
        </w:rPr>
      </w:pPr>
      <w:r>
        <w:rPr>
          <w:lang w:val="fr-FR"/>
        </w:rPr>
        <w:t>Afin de protéger encore mieux les ouvriers des aérosols lors de la pose d’enrobé, Vögele ne cesse d’améliorer le système de ventilation de ses finisseurs. « Cela fait plusieurs années que nous proposons un dispositif d’aspiration certifié NIOSH pour nos machines », explique Steffen Fickeisen, responsable des machines spéciales chez Vögele. « Avec la génération Strich 5, nous avons encore augmenté considérablement la puissance d’aspiration et amélioré l’évacuation : au lieu d’être à l’arrière du poste de commande, elle est désormais intégrée au toit du finisseur, ce qui réduit encore l’exposition du conducteur. » Et il y a encore d’autres améliorations en cours. « Nous ne nous contentons pas d’équiper nos machines les plus récentes, puisque nous allons également proposer un kit de mise à niveau pour nos modèles Strich 3 », poursuit Steffen Fickeisen.</w:t>
      </w:r>
    </w:p>
    <w:p w14:paraId="6D93F441" w14:textId="05D4591C" w:rsidR="00A5354A" w:rsidRPr="00FE2F78" w:rsidRDefault="00161E70" w:rsidP="00664455">
      <w:pPr>
        <w:pStyle w:val="Standardabsatz"/>
        <w:spacing w:after="0"/>
        <w:rPr>
          <w:b/>
          <w:bCs/>
          <w:lang w:val="en-US"/>
        </w:rPr>
      </w:pPr>
      <w:r>
        <w:rPr>
          <w:b/>
          <w:bCs/>
          <w:lang w:val="fr-FR"/>
        </w:rPr>
        <w:t>Plus d’ergonomie, plus de rangement</w:t>
      </w:r>
    </w:p>
    <w:p w14:paraId="4383C493" w14:textId="25378F7B" w:rsidR="00230D39" w:rsidRPr="00FE2F78" w:rsidRDefault="005B5619" w:rsidP="00F56B44">
      <w:pPr>
        <w:pStyle w:val="Standardabsatz"/>
        <w:rPr>
          <w:lang w:val="en-US"/>
        </w:rPr>
      </w:pPr>
      <w:r>
        <w:rPr>
          <w:lang w:val="fr-FR"/>
        </w:rPr>
        <w:t xml:space="preserve">Outre les solutions techniques visant à réduire l’exposition aux émissions, à améliorer l’éclairage et à proposer de nouvelles fonctions automatiques, Vögele favorise la santé et la sécurité des utilisateurs en améliorant l’ergonomie et le rangement. Avec le concept de commande sophistiqué ErgoPlus 5, de nouvelles fonctions confort, des sièges conducteur pivotants, un chauffage de siège à deux niveaux, des extensions de toit isolées, des filets à bagages et des porte-boissons, les finisseurs de routes Strich 5 sont résolument axés sur les besoins des utilisateurs. Les porte-outils enfichables, les nouvelles solutions de transport comme Logistic Plus et les aides au montage et au positionnement garantissent un poste de travail bien rangé, un transport sécurisé et moins d’erreurs de montage. « Notre objectif est de créer toutes les conditions nécessaires pour créer les meilleures conditions de travail possibles avec les nouveaux </w:t>
      </w:r>
      <w:r>
        <w:rPr>
          <w:lang w:val="fr-FR"/>
        </w:rPr>
        <w:lastRenderedPageBreak/>
        <w:t>finisseurs de routes, et ainsi d’améliorer la qualité des travaux de pose et la productivité des entreprises de construction routière », expose Bastian Fleischer.</w:t>
      </w:r>
    </w:p>
    <w:p w14:paraId="181B3248" w14:textId="77777777" w:rsidR="0077269D" w:rsidRPr="00FE2F78" w:rsidRDefault="0077269D" w:rsidP="00E15EBE">
      <w:pPr>
        <w:pStyle w:val="Fotos"/>
        <w:rPr>
          <w:lang w:val="en-US"/>
        </w:rPr>
      </w:pPr>
    </w:p>
    <w:p w14:paraId="0A0F2281" w14:textId="77777777" w:rsidR="00A634C1" w:rsidRPr="00FE2F78" w:rsidRDefault="00A634C1" w:rsidP="00E15EBE">
      <w:pPr>
        <w:pStyle w:val="Fotos"/>
        <w:rPr>
          <w:lang w:val="en-US"/>
        </w:rPr>
      </w:pPr>
    </w:p>
    <w:p w14:paraId="4A12FD4D" w14:textId="328917E5" w:rsidR="00D857F6" w:rsidRDefault="00E15EBE" w:rsidP="00D857F6">
      <w:pPr>
        <w:pStyle w:val="Fotos"/>
      </w:pPr>
      <w:r>
        <w:rPr>
          <w:bCs/>
          <w:lang w:val="fr-FR"/>
        </w:rPr>
        <w:t>Photos :</w:t>
      </w:r>
    </w:p>
    <w:p w14:paraId="20879CE4" w14:textId="60591A5A" w:rsidR="002611FE" w:rsidRPr="00E7537C" w:rsidRDefault="008B5353" w:rsidP="002611FE">
      <w:pPr>
        <w:pStyle w:val="BUbold"/>
      </w:pPr>
      <w:r>
        <w:rPr>
          <w:bCs/>
          <w:noProof/>
          <w:lang w:val="fr-FR"/>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FE2F78" w:rsidRDefault="001E47C0" w:rsidP="001E47C0">
      <w:pPr>
        <w:pStyle w:val="BUbold"/>
        <w:rPr>
          <w:lang w:val="en-US"/>
        </w:rPr>
      </w:pPr>
      <w:r>
        <w:rPr>
          <w:bCs/>
          <w:lang w:val="fr-FR"/>
        </w:rPr>
        <w:t>JV_Operators_Safety_001_PR</w:t>
      </w:r>
    </w:p>
    <w:p w14:paraId="0439197E" w14:textId="60766BE9" w:rsidR="00412CB3" w:rsidRPr="00FE2F78" w:rsidRDefault="00005A45" w:rsidP="00412CB3">
      <w:pPr>
        <w:pStyle w:val="BUnormal"/>
        <w:rPr>
          <w:lang w:val="en-US"/>
        </w:rPr>
      </w:pPr>
      <w:r>
        <w:rPr>
          <w:lang w:val="fr-FR"/>
        </w:rPr>
        <w:t>Pour rendre la pose plus sûre dès sa préparation, Vögele a mis au point la fonction automatique Paver Access Control (PAC).</w:t>
      </w:r>
    </w:p>
    <w:p w14:paraId="01A03F76" w14:textId="0BC81767" w:rsidR="00D90077" w:rsidRDefault="00D90077" w:rsidP="00D90077">
      <w:pPr>
        <w:pStyle w:val="BUbold"/>
        <w:rPr>
          <w:noProof/>
        </w:rPr>
      </w:pPr>
      <w:r>
        <w:rPr>
          <w:bCs/>
          <w:noProof/>
          <w:lang w:val="fr-FR"/>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Pr="00FE2F78" w:rsidRDefault="00D90077" w:rsidP="00D90077">
      <w:pPr>
        <w:pStyle w:val="BUbold"/>
        <w:rPr>
          <w:noProof/>
          <w:lang w:val="en-US"/>
        </w:rPr>
      </w:pPr>
      <w:r>
        <w:rPr>
          <w:bCs/>
          <w:noProof/>
          <w:lang w:val="fr-FR"/>
        </w:rPr>
        <w:t>JV_Operators_Safety_002_PR</w:t>
      </w:r>
    </w:p>
    <w:p w14:paraId="49CF809F" w14:textId="388632B2" w:rsidR="00F756C2" w:rsidRPr="00FE2F78" w:rsidRDefault="00D90077" w:rsidP="00F756C2">
      <w:pPr>
        <w:pStyle w:val="BUbold"/>
        <w:spacing w:after="220"/>
        <w:rPr>
          <w:b w:val="0"/>
          <w:bCs/>
          <w:noProof/>
          <w:lang w:val="en-US"/>
        </w:rPr>
      </w:pPr>
      <w:r>
        <w:rPr>
          <w:b w:val="0"/>
          <w:noProof/>
          <w:lang w:val="fr-FR"/>
        </w:rPr>
        <w:t>Grâce à l’unité de commande placée sur la table de pose, les utilisateurs peuvent lancer toutes les étapes initiales depuis le sol en appuyant sur un bouton.</w:t>
      </w:r>
    </w:p>
    <w:p w14:paraId="29E92010" w14:textId="5257E0FB" w:rsidR="00BD25D1" w:rsidRDefault="008B5353" w:rsidP="00BD25D1">
      <w:pPr>
        <w:pStyle w:val="BUbold"/>
      </w:pPr>
      <w:r>
        <w:rPr>
          <w:bCs/>
          <w:noProof/>
          <w:lang w:val="fr-FR"/>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FE2F78" w:rsidRDefault="001E47C0" w:rsidP="001E47C0">
      <w:pPr>
        <w:pStyle w:val="BUbold"/>
        <w:rPr>
          <w:lang w:val="en-US"/>
        </w:rPr>
      </w:pPr>
      <w:r>
        <w:rPr>
          <w:bCs/>
          <w:lang w:val="fr-FR"/>
        </w:rPr>
        <w:t>JV_Operators_Safety_003_PR</w:t>
      </w:r>
    </w:p>
    <w:p w14:paraId="5ACEB4BA" w14:textId="59FDBAE3" w:rsidR="00DE4B85" w:rsidRPr="00FE2F78" w:rsidRDefault="00412CB3" w:rsidP="00DE4B85">
      <w:pPr>
        <w:pStyle w:val="BUnormal"/>
        <w:rPr>
          <w:lang w:val="en-US"/>
        </w:rPr>
      </w:pPr>
      <w:r>
        <w:rPr>
          <w:lang w:val="fr-FR"/>
        </w:rPr>
        <w:t>L’éclairage est essentiel pour la sécurité : les projecteurs LED intégrés éclairent uniformément toute la zone de travail jusqu’à quatre mètres derrière la table et jusqu’à une largeur de pose de dix mètres.</w:t>
      </w:r>
    </w:p>
    <w:p w14:paraId="5F5D59E2" w14:textId="722E15CC" w:rsidR="008B5353" w:rsidRPr="00EF12D9" w:rsidRDefault="00DE4B85" w:rsidP="008B5353">
      <w:pPr>
        <w:pStyle w:val="BUbold"/>
        <w:rPr>
          <w:i/>
          <w:iCs/>
        </w:rPr>
      </w:pPr>
      <w:r>
        <w:rPr>
          <w:bCs/>
          <w:noProof/>
          <w:lang w:val="fr-FR"/>
        </w:rPr>
        <w:lastRenderedPageBreak/>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FE2F78" w:rsidRDefault="001E47C0" w:rsidP="001E47C0">
      <w:pPr>
        <w:pStyle w:val="BUbold"/>
        <w:rPr>
          <w:lang w:val="en-US"/>
        </w:rPr>
      </w:pPr>
      <w:r>
        <w:rPr>
          <w:bCs/>
          <w:lang w:val="fr-FR"/>
        </w:rPr>
        <w:t>JV_Operators_Safety_004_PR</w:t>
      </w:r>
    </w:p>
    <w:p w14:paraId="5145613A" w14:textId="4CA2A5FF" w:rsidR="003E3970" w:rsidRPr="00FE2F78" w:rsidRDefault="00712C1F" w:rsidP="003E3970">
      <w:pPr>
        <w:pStyle w:val="BUnormal"/>
        <w:rPr>
          <w:lang w:val="en-US"/>
        </w:rPr>
      </w:pPr>
      <w:r>
        <w:rPr>
          <w:lang w:val="fr-FR"/>
        </w:rPr>
        <w:t>Équipement de réduction des émissions EcoPlus : pour la génération Strich 5, Vögele a amélioré le ventilateur à vitesse variable de manière à ce que les températures de l’air de charge du moteur, de l’eau de refroidissement et de l’huile hydraulique soient contrôlées séparément. Cela permet de calculer la vitesse plus précisément et de ne l’augmenter que dans la mesure nécessaire pour garantir le bon fonctionnement de la machine.</w:t>
      </w:r>
    </w:p>
    <w:p w14:paraId="3B2267BC" w14:textId="77777777" w:rsidR="008B5353" w:rsidRPr="00FE2F78" w:rsidRDefault="008B5353" w:rsidP="008B5353">
      <w:pPr>
        <w:pStyle w:val="BUnormal"/>
        <w:rPr>
          <w:lang w:val="en-US"/>
        </w:rPr>
      </w:pPr>
    </w:p>
    <w:p w14:paraId="4FD546A1" w14:textId="27389F0C" w:rsidR="008A2389" w:rsidRPr="00FE2F78" w:rsidRDefault="00664455" w:rsidP="008A2389">
      <w:pPr>
        <w:pStyle w:val="BUbold"/>
        <w:rPr>
          <w:lang w:val="en-US"/>
        </w:rPr>
      </w:pPr>
      <w:r>
        <w:rPr>
          <w:b w:val="0"/>
          <w:noProof/>
          <w:lang w:val="fr-FR"/>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fr-FR"/>
        </w:rPr>
        <w:br/>
      </w:r>
      <w:r>
        <w:rPr>
          <w:bCs/>
          <w:lang w:val="fr-FR"/>
        </w:rPr>
        <w:t>JV_Operators_Safety_005_PR</w:t>
      </w:r>
    </w:p>
    <w:p w14:paraId="6BF653BD" w14:textId="143F0B83" w:rsidR="00550806" w:rsidRPr="00FE2F78" w:rsidRDefault="00550806" w:rsidP="00550806">
      <w:pPr>
        <w:pStyle w:val="BUnormal"/>
        <w:rPr>
          <w:lang w:val="en-US"/>
        </w:rPr>
      </w:pPr>
      <w:r>
        <w:rPr>
          <w:lang w:val="fr-FR"/>
        </w:rPr>
        <w:t>Afin de protéger encore mieux les ouvriers des aérosols, Vögele a amélioré le système de ventilation. La puissance d’aspiration est nettement supérieure et l’évacuation est intégrée au toit du finisseur, ce qui réduit considérablement l’exposition du conducteur.</w:t>
      </w:r>
    </w:p>
    <w:p w14:paraId="04824B2F" w14:textId="079FBE05" w:rsidR="00F74540" w:rsidRDefault="002611FE" w:rsidP="00FE2F78">
      <w:pPr>
        <w:pStyle w:val="BUnormal"/>
        <w:rPr>
          <w:i/>
          <w:iCs/>
          <w:lang w:val="fr-FR"/>
        </w:rPr>
      </w:pPr>
      <w:r>
        <w:rPr>
          <w:lang w:val="fr-FR"/>
        </w:rPr>
        <w:br/>
      </w:r>
      <w:r w:rsidR="00E15EBE">
        <w:rPr>
          <w:i/>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5C49873D" w14:textId="77777777" w:rsidR="00FE2F78" w:rsidRPr="00FE2F78" w:rsidRDefault="00FE2F78" w:rsidP="00FE2F78">
      <w:pPr>
        <w:pStyle w:val="Note"/>
        <w:rPr>
          <w:lang w:val="fr-FR"/>
        </w:rPr>
      </w:pPr>
    </w:p>
    <w:p w14:paraId="55931FB8" w14:textId="77777777"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fr-FR"/>
        </w:rPr>
        <w:t>Téléphone : +49 (0) 2645 131 – 1966</w:t>
      </w:r>
    </w:p>
    <w:p w14:paraId="65F4C38F" w14:textId="77777777" w:rsidR="00E15EBE" w:rsidRDefault="00E15EBE" w:rsidP="00E15EBE">
      <w:pPr>
        <w:pStyle w:val="Fuzeile1"/>
      </w:pPr>
      <w:r>
        <w:rPr>
          <w:bCs w:val="0"/>
          <w:iCs w:val="0"/>
          <w:lang w:val="fr-FR"/>
        </w:rPr>
        <w:t>Fax : +49 (0) 2645 131 – 499</w:t>
      </w:r>
    </w:p>
    <w:p w14:paraId="79FF3B7C" w14:textId="5A9F2589" w:rsidR="00E15EBE" w:rsidRDefault="00E15EBE" w:rsidP="00E15EBE">
      <w:pPr>
        <w:pStyle w:val="Fuzeile1"/>
      </w:pPr>
      <w:r>
        <w:rPr>
          <w:bCs w:val="0"/>
          <w:iCs w:val="0"/>
          <w:lang w:val="fr-FR"/>
        </w:rPr>
        <w:t>E-mail : 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fr-FR"/>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fr-FR"/>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fr-FR"/>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184E"/>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2F78"/>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1256</Words>
  <Characters>7918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9156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12</cp:revision>
  <cp:lastPrinted>2021-10-28T15:19:00Z</cp:lastPrinted>
  <dcterms:created xsi:type="dcterms:W3CDTF">2024-07-19T11:45:00Z</dcterms:created>
  <dcterms:modified xsi:type="dcterms:W3CDTF">2024-08-27T08:45:00Z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