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6CDD0" w14:textId="77777777" w:rsidR="00A27829" w:rsidRPr="00BB729D" w:rsidRDefault="00597A27" w:rsidP="00A27829">
      <w:pPr>
        <w:pStyle w:val="Head"/>
      </w:pPr>
      <w:r>
        <w:rPr>
          <w:lang w:val="it-IT"/>
        </w:rPr>
        <w:t>Benninghoven | Bruciatori a idrogeno impiegati per la produzione di asfalto in Norvegia</w:t>
      </w:r>
    </w:p>
    <w:p w14:paraId="789285E4" w14:textId="77777777" w:rsidR="002956B8" w:rsidRPr="00C730AE" w:rsidRDefault="00597A27" w:rsidP="002956B8">
      <w:pPr>
        <w:pStyle w:val="Teaser"/>
      </w:pPr>
      <w:r>
        <w:rPr>
          <w:bCs/>
          <w:lang w:val="it-IT"/>
        </w:rPr>
        <w:t>Per aumentare la sostenibilità nella produzione di asfalto e assicurare la continuità delle imprese, Benninghoven offre numerose soluzioni innovative. Particolarmente degni di nota sono i primi bruciatori al mondo in grado di funzionare al 100% con idrogen</w:t>
      </w:r>
      <w:r>
        <w:rPr>
          <w:bCs/>
          <w:lang w:val="it-IT"/>
        </w:rPr>
        <w:t xml:space="preserve">o verde. In Norvegia questa tecnologia è già stata testata a livello pratico. </w:t>
      </w:r>
    </w:p>
    <w:p w14:paraId="28277A29" w14:textId="77777777" w:rsidR="002956B8" w:rsidRPr="00B9252A" w:rsidRDefault="00597A27" w:rsidP="002956B8">
      <w:pPr>
        <w:pStyle w:val="Standardabsatz"/>
      </w:pPr>
      <w:r>
        <w:rPr>
          <w:lang w:val="it-IT"/>
        </w:rPr>
        <w:t>Un esempio in tal senso è rappresentato dall’impresa edile Veidekke Industri AS, che utilizza l’idrogeno come combustibile per la produzione di asfalto. “Consideriamo il cambiam</w:t>
      </w:r>
      <w:r>
        <w:rPr>
          <w:lang w:val="it-IT"/>
        </w:rPr>
        <w:t>ento sociale ed ecologico un’opportunità per valorizzare la nostra cultura aziendale innovativa e la nostra competenza ingegneristica. I bruciatori a idrogeno di Benninghoven ci offrono un grande supporto in quest’ottica”, spiega Eddie Heggard Engebretsen,</w:t>
      </w:r>
      <w:r>
        <w:rPr>
          <w:lang w:val="it-IT"/>
        </w:rPr>
        <w:t xml:space="preserve"> Senior Project Manager presso la Veidekke.</w:t>
      </w:r>
    </w:p>
    <w:p w14:paraId="0D8633F7" w14:textId="77777777" w:rsidR="00BB729D" w:rsidRDefault="00597A27" w:rsidP="00C730AE">
      <w:pPr>
        <w:pStyle w:val="Absatzberschrift"/>
      </w:pPr>
      <w:r>
        <w:rPr>
          <w:bCs/>
          <w:lang w:val="it-IT"/>
        </w:rPr>
        <w:t>L’impiego della tecnologia a idrogeno porta a una soluzione completa flessibile</w:t>
      </w:r>
    </w:p>
    <w:p w14:paraId="70843FA1" w14:textId="77777777" w:rsidR="00690BFC" w:rsidRPr="00303ADF" w:rsidRDefault="00597A27" w:rsidP="00690BFC">
      <w:pPr>
        <w:pStyle w:val="Standardabsatz"/>
      </w:pPr>
      <w:r>
        <w:rPr>
          <w:lang w:val="it-IT"/>
        </w:rPr>
        <w:t>Benninghoven ha sviluppato una soluzione completa ottimamente calibrata per l’essiccazione di materiale, che per la prima volta cons</w:t>
      </w:r>
      <w:r>
        <w:rPr>
          <w:lang w:val="it-IT"/>
        </w:rPr>
        <w:t>ente agli utenti di impiegare fino al 100% di idrogeno verde durante il normale funzionamento. Il sistema di essiccazione a idrogeno consiste in un bruciatore MULTI JET, un controllo del bruciatore, un sistema di alimentazione con un percorso di regolazion</w:t>
      </w:r>
      <w:r>
        <w:rPr>
          <w:lang w:val="it-IT"/>
        </w:rPr>
        <w:t>e della pressione brevettato, che riduce l’idrogeno per il bruciatore alla pressione d’esercizio richiesta, e componenti dell’impianto appositamente adattati per il funzionamento a idrogeno. La soluzione completa si collega direttamente alla fonte di idrog</w:t>
      </w:r>
      <w:r>
        <w:rPr>
          <w:lang w:val="it-IT"/>
        </w:rPr>
        <w:t>eno, garantendo flessibilità nell’utilizzo di diverse sorgenti, come rimorchi, reti di alimentazione o elettrolizzatori decentralizzati.</w:t>
      </w:r>
    </w:p>
    <w:p w14:paraId="1C89E679" w14:textId="77777777" w:rsidR="00690BFC" w:rsidRPr="00690BFC" w:rsidRDefault="00597A27" w:rsidP="00690BFC">
      <w:pPr>
        <w:jc w:val="both"/>
        <w:rPr>
          <w:rFonts w:eastAsiaTheme="minorHAnsi" w:cstheme="minorBidi"/>
          <w:sz w:val="22"/>
          <w:szCs w:val="24"/>
        </w:rPr>
      </w:pPr>
      <w:r>
        <w:rPr>
          <w:rFonts w:eastAsiaTheme="minorHAnsi" w:cstheme="minorBidi"/>
          <w:sz w:val="22"/>
          <w:szCs w:val="24"/>
          <w:lang w:val="it-IT"/>
        </w:rPr>
        <w:t xml:space="preserve">Per l’utilizzo dell’idrogeno è necessario un piano di sicurezza. Questo è stato predisposto dagli esperti Benninghoven </w:t>
      </w:r>
      <w:r>
        <w:rPr>
          <w:rFonts w:eastAsiaTheme="minorHAnsi" w:cstheme="minorBidi"/>
          <w:sz w:val="22"/>
          <w:szCs w:val="24"/>
          <w:lang w:val="it-IT"/>
        </w:rPr>
        <w:t>unitamente all’impresa norvegese. Oltre alla riduzione delle emissioni di CO₂, è decisivo anche il controllo delle emissioni NOx. Il sistema Benninghoven comprende un ricircolo dei gas di scarico che garantisce emissioni NOx ridotte.</w:t>
      </w:r>
    </w:p>
    <w:p w14:paraId="715B617B" w14:textId="77777777" w:rsidR="00690BFC" w:rsidRPr="00BB729D" w:rsidRDefault="00597A27" w:rsidP="00690BFC">
      <w:pPr>
        <w:pStyle w:val="Standardabsatz"/>
      </w:pPr>
      <w:r>
        <w:rPr>
          <w:lang w:val="it-IT"/>
        </w:rPr>
        <w:t>Con i sistemi di bruci</w:t>
      </w:r>
      <w:r>
        <w:rPr>
          <w:lang w:val="it-IT"/>
        </w:rPr>
        <w:t>atori a idrogeno, il produttore e specialista degli impianti di confezionamento mette a disposizione una soluzione pronta all’uso pratico, che offre dei vantaggi tanto tecnici quanto economici. La possibilità di passare in modo flessibile da un vettore ene</w:t>
      </w:r>
      <w:r>
        <w:rPr>
          <w:lang w:val="it-IT"/>
        </w:rPr>
        <w:t>rgetico a un altro permette ai gestori di reagire alle condizioni di mercato e alla prezzatura della CO₂. I risparmi di costi d’esercizio così ottenuti contribuiscono alla capacità dei gestori di affermarsi a livello economico in futuro.</w:t>
      </w:r>
    </w:p>
    <w:p w14:paraId="59B7AE5B" w14:textId="77777777" w:rsidR="003A4C35" w:rsidRPr="00BB729D" w:rsidRDefault="00597A27" w:rsidP="003A4C35">
      <w:pPr>
        <w:pStyle w:val="Teaserhead"/>
      </w:pPr>
      <w:r>
        <w:rPr>
          <w:bCs/>
          <w:lang w:val="it-IT"/>
        </w:rPr>
        <w:t>I primi impieghi i</w:t>
      </w:r>
      <w:r>
        <w:rPr>
          <w:bCs/>
          <w:lang w:val="it-IT"/>
        </w:rPr>
        <w:t>n Norvegia – cliente premiato con il Premio Clima</w:t>
      </w:r>
    </w:p>
    <w:p w14:paraId="76A8D0DE" w14:textId="77777777" w:rsidR="006D3B7D" w:rsidRPr="00BB729D" w:rsidRDefault="00597A27" w:rsidP="006D3B7D">
      <w:pPr>
        <w:pStyle w:val="Standardabsatz"/>
      </w:pPr>
      <w:r>
        <w:rPr>
          <w:lang w:val="it-IT"/>
        </w:rPr>
        <w:t>“In passato ci siamo concentrati sull’individuare le aree in cui ridurre il più rapidamente possibile le emissioni di CO₂ nei nostri processi. Siamo giunti alla conclusione che nella stesa dell’asfalto è po</w:t>
      </w:r>
      <w:r>
        <w:rPr>
          <w:lang w:val="it-IT"/>
        </w:rPr>
        <w:t>ssibile ottenere solo una riduzione del 3%: tutto cambia invece nella produzione di asfalto. Con l’idrogeno, riusciamo già a ridurre le emissioni di CO</w:t>
      </w:r>
      <w:r>
        <w:rPr>
          <w:vertAlign w:val="subscript"/>
          <w:lang w:val="it-IT"/>
        </w:rPr>
        <w:t>2</w:t>
      </w:r>
      <w:r>
        <w:rPr>
          <w:lang w:val="it-IT"/>
        </w:rPr>
        <w:t xml:space="preserve"> fino al 40%”, spiega Heggard Engebretsen.</w:t>
      </w:r>
    </w:p>
    <w:p w14:paraId="4561BF7F" w14:textId="77777777" w:rsidR="003A4C35" w:rsidRPr="00BB729D" w:rsidRDefault="00597A27" w:rsidP="00C730AE">
      <w:pPr>
        <w:pStyle w:val="Standardabsatz"/>
        <w:ind w:firstLine="1"/>
      </w:pPr>
      <w:r>
        <w:rPr>
          <w:lang w:val="it-IT"/>
        </w:rPr>
        <w:lastRenderedPageBreak/>
        <w:t>Dal 2023 Veidekke testa la tecnologia presso una sede a Krist</w:t>
      </w:r>
      <w:r>
        <w:rPr>
          <w:lang w:val="it-IT"/>
        </w:rPr>
        <w:t>iansund. Nel frattempo, sono state prodotte diverse migliaia di tonnellate di asfalto utilizzando l’idrogeno.</w:t>
      </w:r>
    </w:p>
    <w:p w14:paraId="51FC45E0" w14:textId="77777777" w:rsidR="003A4C35" w:rsidRPr="00BB729D" w:rsidRDefault="00597A27" w:rsidP="003A4C35">
      <w:pPr>
        <w:pStyle w:val="Standardabsatz"/>
      </w:pPr>
      <w:r>
        <w:rPr>
          <w:lang w:val="it-IT"/>
        </w:rPr>
        <w:t>Dal 2024 è in funzione anche un secondo impianto a Ålesund. L’obiettivo era quello di convalidare il processo e verificare se, con condizioni vari</w:t>
      </w:r>
      <w:r>
        <w:rPr>
          <w:lang w:val="it-IT"/>
        </w:rPr>
        <w:t>ate, potesse essere conseguito un risultato affidabile. Questa fase è stata decisiva per il raggiungimento della maturità di serie. Lo stesso anno il gestore ha addirittura ricevuto il Premio Clima per il suo lavoro con l’asfalto prodotto con idrogeno in N</w:t>
      </w:r>
      <w:r>
        <w:rPr>
          <w:lang w:val="it-IT"/>
        </w:rPr>
        <w:t xml:space="preserve">orvegia. Nel 2025 Veidekke prevede di mettere già in funzione un nuovo impianto a idrogeno. “Riteniamo Benninghoven un partner competente per la nostra missione. Dalla messa in funzione del bruciatore MULTI JET sono state prodotte, con emissioni zero, già </w:t>
      </w:r>
      <w:r>
        <w:rPr>
          <w:lang w:val="it-IT"/>
        </w:rPr>
        <w:t xml:space="preserve">diverse migliaia di tonnellate di asfalto esclusivamente con la fonte energetica idrogeno”, spiega </w:t>
      </w:r>
      <w:bookmarkStart w:id="0" w:name="_Hlk199153136"/>
      <w:bookmarkStart w:id="1" w:name="_Hlk199153180"/>
      <w:r>
        <w:rPr>
          <w:lang w:val="it-IT"/>
        </w:rPr>
        <w:t xml:space="preserve">Heggard </w:t>
      </w:r>
      <w:bookmarkEnd w:id="0"/>
      <w:r>
        <w:rPr>
          <w:lang w:val="it-IT"/>
        </w:rPr>
        <w:t>Engebretsen</w:t>
      </w:r>
      <w:bookmarkEnd w:id="1"/>
      <w:r>
        <w:rPr>
          <w:lang w:val="it-IT"/>
        </w:rPr>
        <w:t>.</w:t>
      </w:r>
    </w:p>
    <w:p w14:paraId="56117AF0" w14:textId="77777777" w:rsidR="002956B8" w:rsidRPr="00BB729D" w:rsidRDefault="00597A27" w:rsidP="002956B8">
      <w:pPr>
        <w:pStyle w:val="Teaserhead"/>
        <w:jc w:val="left"/>
      </w:pPr>
      <w:r>
        <w:rPr>
          <w:bCs/>
          <w:lang w:val="it-IT"/>
        </w:rPr>
        <w:t>Idrogeno – potenziale, sfide e prospettive</w:t>
      </w:r>
    </w:p>
    <w:p w14:paraId="77A63DD9" w14:textId="77777777" w:rsidR="00F1573B" w:rsidRDefault="00597A27" w:rsidP="00C730AE">
      <w:pPr>
        <w:jc w:val="both"/>
        <w:rPr>
          <w:rFonts w:eastAsiaTheme="minorHAnsi" w:cstheme="minorBidi"/>
          <w:sz w:val="22"/>
          <w:szCs w:val="24"/>
        </w:rPr>
      </w:pPr>
      <w:r>
        <w:rPr>
          <w:rFonts w:eastAsiaTheme="minorHAnsi" w:cstheme="minorBidi"/>
          <w:sz w:val="22"/>
          <w:szCs w:val="24"/>
          <w:lang w:val="it-IT"/>
        </w:rPr>
        <w:t>L’impiego dell’idrogeno verde riduce enormemente le emissioni di CO₂ nella produzione di asfa</w:t>
      </w:r>
      <w:r>
        <w:rPr>
          <w:rFonts w:eastAsiaTheme="minorHAnsi" w:cstheme="minorBidi"/>
          <w:sz w:val="22"/>
          <w:szCs w:val="24"/>
          <w:lang w:val="it-IT"/>
        </w:rPr>
        <w:t>lto. In base ai calcoli attuali, circa il 45% delle emissioni di CO₂ nella costruzione di strade è imputabile al funzionamento degli impianti di confezionamento, mentre il 41% di questa quota è direttamente associato al processo di combustione. L’impiego d</w:t>
      </w:r>
      <w:r>
        <w:rPr>
          <w:rFonts w:eastAsiaTheme="minorHAnsi" w:cstheme="minorBidi"/>
          <w:sz w:val="22"/>
          <w:szCs w:val="24"/>
          <w:lang w:val="it-IT"/>
        </w:rPr>
        <w:t xml:space="preserve">el bruciatore a idrogeno sfrutta quindi la principale leva per la riduzione delle emissioni. </w:t>
      </w:r>
    </w:p>
    <w:p w14:paraId="3F9FA6EB" w14:textId="77777777" w:rsidR="00754E1B" w:rsidRPr="001D072C" w:rsidRDefault="00597A27" w:rsidP="001D072C">
      <w:pPr>
        <w:spacing w:after="240"/>
        <w:jc w:val="both"/>
        <w:rPr>
          <w:rFonts w:eastAsiaTheme="minorHAnsi" w:cstheme="minorBidi"/>
          <w:sz w:val="22"/>
          <w:szCs w:val="24"/>
        </w:rPr>
      </w:pPr>
      <w:r>
        <w:rPr>
          <w:rFonts w:eastAsiaTheme="minorHAnsi" w:cstheme="minorBidi"/>
          <w:sz w:val="22"/>
          <w:szCs w:val="24"/>
          <w:lang w:val="it-IT"/>
        </w:rPr>
        <w:t>“Da noi, nell’estremo nord, si produce molta energia verde grazie alla forza dell’acqua. Ma, in generale, bisogna purtroppo dire che, nonostante l’enorme potenzia</w:t>
      </w:r>
      <w:r>
        <w:rPr>
          <w:rFonts w:eastAsiaTheme="minorHAnsi" w:cstheme="minorBidi"/>
          <w:sz w:val="22"/>
          <w:szCs w:val="24"/>
          <w:lang w:val="it-IT"/>
        </w:rPr>
        <w:t>le, la disponibilità attuale è ancora in ritardo. Dal mio punto di vista può essere solo una questione di tempo prima che questo venga compreso e adeguatamente sostenuto e sovvenzionato”, spiega Heggard Engebretsen.</w:t>
      </w:r>
    </w:p>
    <w:p w14:paraId="6AD34D3A" w14:textId="77777777" w:rsidR="004E6466" w:rsidRPr="00BB729D" w:rsidRDefault="00597A27" w:rsidP="001D072C">
      <w:pPr>
        <w:pStyle w:val="Teaserhead"/>
      </w:pPr>
      <w:r>
        <w:rPr>
          <w:bCs/>
          <w:lang w:val="it-IT"/>
        </w:rPr>
        <w:t>La trasformazione è possibile in qualsiasi momento</w:t>
      </w:r>
    </w:p>
    <w:p w14:paraId="47468B54" w14:textId="77777777" w:rsidR="004E6466" w:rsidRPr="00BB729D" w:rsidRDefault="00597A27" w:rsidP="00BD3A32">
      <w:pPr>
        <w:pStyle w:val="Standardabsatz"/>
      </w:pPr>
      <w:r>
        <w:rPr>
          <w:lang w:val="it-IT"/>
        </w:rPr>
        <w:t xml:space="preserve">Con le tecnologie dei bruciatori Benninghoven è possibile equipaggiare sia i nuovi impianti sia gli impianti di confezionamento esistenti, anche di altri costruttori. Il bruciatore MULTI JET è in grado ad </w:t>
      </w:r>
      <w:r>
        <w:rPr>
          <w:lang w:val="it-IT"/>
        </w:rPr>
        <w:t>esempio di utilizzare contemporaneamente quattro diversi combustibili, indipendentemente dal loro stato d’aggregazione, ovvero solido, liquido o gassoso. Le altre caratteristiche sono l’uso di combustibili misti e il cambio di combustibile rapidissimo, sen</w:t>
      </w:r>
      <w:r>
        <w:rPr>
          <w:lang w:val="it-IT"/>
        </w:rPr>
        <w:t>za necessità di disattivazioni o tempi di fermo. Questo offre ai gestori una grande flessibilità nella scelta delle fonti energetiche più economiche e facilmente disponibili. Inoltre, la possibilità di passare semplicemente alle tecnologie dei bruciatori p</w:t>
      </w:r>
      <w:r>
        <w:rPr>
          <w:lang w:val="it-IT"/>
        </w:rPr>
        <w:t xml:space="preserve">iù recenti in qualsiasi momento è un aspetto importante per una produzione di asfalto redditizia e sostenibile nonché per la sicurezza del sito a lungo termine. </w:t>
      </w:r>
    </w:p>
    <w:p w14:paraId="785BE6A9" w14:textId="77777777" w:rsidR="004E6466" w:rsidRPr="00BB729D" w:rsidRDefault="004E6466" w:rsidP="004E6466">
      <w:pPr>
        <w:pStyle w:val="Standardabsatz"/>
      </w:pPr>
    </w:p>
    <w:p w14:paraId="78ACD6BB" w14:textId="77777777" w:rsidR="00113A3A" w:rsidRDefault="00597A27">
      <w:pPr>
        <w:rPr>
          <w:rFonts w:eastAsiaTheme="minorHAnsi" w:cstheme="minorBidi"/>
          <w:sz w:val="22"/>
          <w:szCs w:val="24"/>
        </w:rPr>
      </w:pPr>
      <w:r>
        <w:rPr>
          <w:lang w:val="it-IT"/>
        </w:rPr>
        <w:br w:type="page"/>
      </w:r>
    </w:p>
    <w:p w14:paraId="19B6AF29" w14:textId="77777777" w:rsidR="002956B8" w:rsidRPr="00BB729D" w:rsidRDefault="00597A27" w:rsidP="002956B8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it-IT"/>
        </w:rPr>
        <w:lastRenderedPageBreak/>
        <w:t>Foto:</w:t>
      </w:r>
    </w:p>
    <w:p w14:paraId="106A68AD" w14:textId="77777777" w:rsidR="002956B8" w:rsidRPr="00BB729D" w:rsidRDefault="002956B8" w:rsidP="002956B8">
      <w:pPr>
        <w:rPr>
          <w:rFonts w:eastAsiaTheme="minorHAnsi" w:cstheme="minorBidi"/>
          <w:b/>
          <w:sz w:val="22"/>
          <w:szCs w:val="24"/>
        </w:rPr>
      </w:pPr>
    </w:p>
    <w:p w14:paraId="5D3E71D6" w14:textId="77777777" w:rsidR="002956B8" w:rsidRPr="00C730AE" w:rsidRDefault="00597A27" w:rsidP="002956B8">
      <w:pPr>
        <w:pStyle w:val="BUbold"/>
        <w:rPr>
          <w:b w:val="0"/>
          <w:bCs/>
        </w:rPr>
      </w:pPr>
      <w:r>
        <w:rPr>
          <w:b w:val="0"/>
          <w:noProof/>
          <w:lang w:val="it-IT"/>
        </w:rPr>
        <w:drawing>
          <wp:inline distT="0" distB="0" distL="0" distR="0" wp14:anchorId="24A9CC4A" wp14:editId="210EFCD7">
            <wp:extent cx="2908571" cy="2182725"/>
            <wp:effectExtent l="0" t="0" r="6350" b="825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166" cy="2195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it-IT"/>
        </w:rPr>
        <w:br/>
      </w:r>
      <w:r>
        <w:rPr>
          <w:bCs/>
          <w:lang w:val="it-IT"/>
        </w:rPr>
        <w:t xml:space="preserve">B_pic_H2-Burner-Retrofit-Norway-Veidekke_0001 </w:t>
      </w:r>
      <w:r>
        <w:rPr>
          <w:b w:val="0"/>
          <w:lang w:val="it-IT"/>
        </w:rPr>
        <w:br/>
        <w:t xml:space="preserve">Il primo bruciatore Benninghoven a Kristiansund entra in funzione. </w:t>
      </w:r>
    </w:p>
    <w:p w14:paraId="3FA21966" w14:textId="77777777" w:rsidR="002956B8" w:rsidRPr="00C730AE" w:rsidRDefault="002956B8" w:rsidP="002956B8">
      <w:pPr>
        <w:pStyle w:val="BUnormal"/>
      </w:pPr>
    </w:p>
    <w:p w14:paraId="48B54528" w14:textId="77777777" w:rsidR="002956B8" w:rsidRDefault="00597A27" w:rsidP="004F5B47">
      <w:pPr>
        <w:pStyle w:val="BUbold"/>
        <w:rPr>
          <w:b w:val="0"/>
          <w:bCs/>
        </w:rPr>
      </w:pPr>
      <w:r>
        <w:rPr>
          <w:b w:val="0"/>
          <w:noProof/>
          <w:lang w:val="it-IT"/>
        </w:rPr>
        <w:drawing>
          <wp:inline distT="0" distB="0" distL="0" distR="0" wp14:anchorId="5706824B" wp14:editId="2FC16E4F">
            <wp:extent cx="2908300" cy="1636953"/>
            <wp:effectExtent l="0" t="0" r="6350" b="190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9664" cy="1648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it-IT"/>
        </w:rPr>
        <w:br/>
      </w:r>
      <w:r>
        <w:rPr>
          <w:bCs/>
          <w:lang w:val="it-IT"/>
        </w:rPr>
        <w:t>B_pic_H2-Burner-Retrofit-Norway-Veidekke_0002</w:t>
      </w:r>
      <w:r>
        <w:rPr>
          <w:b w:val="0"/>
          <w:lang w:val="it-IT"/>
        </w:rPr>
        <w:br/>
        <w:t xml:space="preserve">L’asfalto può essere prodotto senza emissioni di gas serra. </w:t>
      </w:r>
    </w:p>
    <w:p w14:paraId="6D2AE6F8" w14:textId="77777777" w:rsidR="004F5B47" w:rsidRPr="004F5B47" w:rsidRDefault="004F5B47" w:rsidP="004F5B47">
      <w:pPr>
        <w:pStyle w:val="BUnormal"/>
      </w:pPr>
    </w:p>
    <w:p w14:paraId="21EBB753" w14:textId="77777777" w:rsidR="00C81283" w:rsidRPr="007A1A9C" w:rsidRDefault="00597A27" w:rsidP="00B9252A">
      <w:pPr>
        <w:pStyle w:val="BUnormal"/>
      </w:pPr>
      <w:r>
        <w:rPr>
          <w:noProof/>
          <w:lang w:val="it-IT"/>
        </w:rPr>
        <w:drawing>
          <wp:inline distT="0" distB="0" distL="0" distR="0" wp14:anchorId="2AB1983B" wp14:editId="7A29C681">
            <wp:extent cx="3006202" cy="1692612"/>
            <wp:effectExtent l="0" t="0" r="3810" b="3175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8479" cy="1693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E4AF1C" w14:textId="77777777" w:rsidR="00C81283" w:rsidRPr="003A6484" w:rsidRDefault="00597A27" w:rsidP="00B9252A">
      <w:pPr>
        <w:pStyle w:val="BUbold"/>
      </w:pPr>
      <w:r>
        <w:rPr>
          <w:bCs/>
          <w:lang w:val="it-IT"/>
        </w:rPr>
        <w:t>B_pic_H2-Burner-Retrofit-Nor</w:t>
      </w:r>
      <w:r>
        <w:rPr>
          <w:bCs/>
          <w:lang w:val="it-IT"/>
        </w:rPr>
        <w:t>way-Veidekke_0003</w:t>
      </w:r>
    </w:p>
    <w:p w14:paraId="621EBBB5" w14:textId="77777777" w:rsidR="00C81283" w:rsidRDefault="00597A27" w:rsidP="00C81283">
      <w:pPr>
        <w:pStyle w:val="BUnormal"/>
      </w:pPr>
      <w:r>
        <w:rPr>
          <w:lang w:val="it-IT"/>
        </w:rPr>
        <w:t>L’impianto di confezionamento di Veidekke con bruciatore MULTI JET a Ålesund è in funzione dall’ottobre 2023.</w:t>
      </w:r>
    </w:p>
    <w:p w14:paraId="28DFC919" w14:textId="77777777" w:rsidR="00113A3A" w:rsidRDefault="00597A27" w:rsidP="003A6484">
      <w:pPr>
        <w:pStyle w:val="Note"/>
      </w:pPr>
      <w:r>
        <w:rPr>
          <w:iCs/>
          <w:lang w:val="it-IT"/>
        </w:rPr>
        <w:t xml:space="preserve">Nota: Queste foto sono a puro scopo esemplificativo. </w:t>
      </w:r>
      <w:r>
        <w:rPr>
          <w:iCs/>
          <w:lang w:val="it-IT"/>
        </w:rPr>
        <w:t xml:space="preserve">Per la stampa nelle varie pubblicazioni siete pregati di utilizzare le foto da 300 dpi di risoluzione disponibili per il download. </w:t>
      </w:r>
    </w:p>
    <w:p w14:paraId="2C32801A" w14:textId="5B734A45" w:rsidR="00C24641" w:rsidRDefault="00C24641">
      <w:pPr>
        <w:rPr>
          <w:rFonts w:eastAsiaTheme="minorHAnsi" w:cstheme="minorBidi"/>
          <w:sz w:val="22"/>
          <w:szCs w:val="24"/>
        </w:rPr>
      </w:pPr>
      <w:r>
        <w:br w:type="page"/>
      </w:r>
    </w:p>
    <w:p w14:paraId="70F530E0" w14:textId="77777777" w:rsidR="00690BFC" w:rsidRPr="007A1A9C" w:rsidRDefault="00690BFC" w:rsidP="00B9252A">
      <w:pPr>
        <w:pStyle w:val="Standardabsatz"/>
      </w:pPr>
    </w:p>
    <w:p w14:paraId="28692BE1" w14:textId="77777777" w:rsidR="002956B8" w:rsidRPr="00BB729D" w:rsidRDefault="00597A27" w:rsidP="002956B8">
      <w:pPr>
        <w:pStyle w:val="Absatzberschrift"/>
        <w:rPr>
          <w:iCs/>
        </w:rPr>
      </w:pPr>
      <w:r>
        <w:rPr>
          <w:bCs/>
          <w:lang w:val="it-IT"/>
        </w:rPr>
        <w:t>È possibile reperire ulteriori informazioni presso:</w:t>
      </w:r>
    </w:p>
    <w:p w14:paraId="65C526AF" w14:textId="77777777" w:rsidR="002956B8" w:rsidRPr="00BB729D" w:rsidRDefault="002956B8" w:rsidP="002956B8">
      <w:pPr>
        <w:pStyle w:val="Absatzberschrift"/>
      </w:pPr>
    </w:p>
    <w:p w14:paraId="576A0082" w14:textId="77777777" w:rsidR="002956B8" w:rsidRPr="00BB729D" w:rsidRDefault="00597A27" w:rsidP="002956B8">
      <w:pPr>
        <w:pStyle w:val="Absatzberschrift"/>
        <w:rPr>
          <w:b w:val="0"/>
          <w:bCs/>
          <w:szCs w:val="22"/>
        </w:rPr>
      </w:pPr>
      <w:r>
        <w:rPr>
          <w:b w:val="0"/>
          <w:lang w:val="it-IT"/>
        </w:rPr>
        <w:t>WIRTGEN GROUP</w:t>
      </w:r>
    </w:p>
    <w:p w14:paraId="18A25B83" w14:textId="77777777" w:rsidR="002956B8" w:rsidRPr="00BB729D" w:rsidRDefault="00597A27" w:rsidP="002956B8">
      <w:pPr>
        <w:pStyle w:val="Fuzeile1"/>
      </w:pPr>
      <w:r>
        <w:rPr>
          <w:bCs w:val="0"/>
          <w:iCs w:val="0"/>
          <w:lang w:val="it-IT"/>
        </w:rPr>
        <w:t>Public Relations</w:t>
      </w:r>
    </w:p>
    <w:p w14:paraId="279D73BA" w14:textId="77777777" w:rsidR="002956B8" w:rsidRPr="00BB729D" w:rsidRDefault="00597A27" w:rsidP="002956B8">
      <w:pPr>
        <w:pStyle w:val="Fuzeile1"/>
      </w:pPr>
      <w:r>
        <w:rPr>
          <w:bCs w:val="0"/>
          <w:iCs w:val="0"/>
          <w:lang w:val="it-IT"/>
        </w:rPr>
        <w:t>Reinhard-Wirtgen-Straße 2</w:t>
      </w:r>
    </w:p>
    <w:p w14:paraId="5E6D76D1" w14:textId="77777777" w:rsidR="002956B8" w:rsidRPr="00BB729D" w:rsidRDefault="00597A27" w:rsidP="002956B8">
      <w:pPr>
        <w:pStyle w:val="Fuzeile1"/>
      </w:pPr>
      <w:r>
        <w:rPr>
          <w:bCs w:val="0"/>
          <w:iCs w:val="0"/>
          <w:lang w:val="it-IT"/>
        </w:rPr>
        <w:t>53578 Windhag</w:t>
      </w:r>
      <w:r>
        <w:rPr>
          <w:bCs w:val="0"/>
          <w:iCs w:val="0"/>
          <w:lang w:val="it-IT"/>
        </w:rPr>
        <w:t>en</w:t>
      </w:r>
    </w:p>
    <w:p w14:paraId="28741E5F" w14:textId="77777777" w:rsidR="002956B8" w:rsidRPr="00BB729D" w:rsidRDefault="00597A27" w:rsidP="002956B8">
      <w:pPr>
        <w:pStyle w:val="Fuzeile1"/>
      </w:pPr>
      <w:r>
        <w:rPr>
          <w:bCs w:val="0"/>
          <w:iCs w:val="0"/>
          <w:lang w:val="it-IT"/>
        </w:rPr>
        <w:t>Germania</w:t>
      </w:r>
    </w:p>
    <w:p w14:paraId="09BDF250" w14:textId="77777777" w:rsidR="002956B8" w:rsidRPr="00BB729D" w:rsidRDefault="002956B8" w:rsidP="002956B8">
      <w:pPr>
        <w:pStyle w:val="Fuzeile1"/>
      </w:pPr>
    </w:p>
    <w:p w14:paraId="5705ABB2" w14:textId="77777777" w:rsidR="002956B8" w:rsidRPr="00BB729D" w:rsidRDefault="00597A27" w:rsidP="002956B8">
      <w:pPr>
        <w:pStyle w:val="Fuzeile1"/>
        <w:rPr>
          <w:rFonts w:ascii="Times New Roman" w:hAnsi="Times New Roman" w:cs="Times New Roman"/>
        </w:rPr>
      </w:pPr>
      <w:r>
        <w:rPr>
          <w:bCs w:val="0"/>
          <w:iCs w:val="0"/>
          <w:lang w:val="it-IT"/>
        </w:rPr>
        <w:t xml:space="preserve">Telefono: </w:t>
      </w:r>
      <w:r>
        <w:rPr>
          <w:bCs w:val="0"/>
          <w:iCs w:val="0"/>
          <w:lang w:val="it-IT"/>
        </w:rPr>
        <w:tab/>
        <w:t>+49 (0) 2645 131 – 1966</w:t>
      </w:r>
    </w:p>
    <w:p w14:paraId="0F98B431" w14:textId="77777777" w:rsidR="002956B8" w:rsidRPr="00BB729D" w:rsidRDefault="00597A27" w:rsidP="002956B8">
      <w:pPr>
        <w:pStyle w:val="Fuzeile1"/>
      </w:pPr>
      <w:r>
        <w:rPr>
          <w:bCs w:val="0"/>
          <w:iCs w:val="0"/>
          <w:lang w:val="it-IT"/>
        </w:rPr>
        <w:t xml:space="preserve">Telefax: </w:t>
      </w:r>
      <w:r>
        <w:rPr>
          <w:bCs w:val="0"/>
          <w:iCs w:val="0"/>
          <w:lang w:val="it-IT"/>
        </w:rPr>
        <w:tab/>
        <w:t>+49 (0) 2645 131 – 499</w:t>
      </w:r>
    </w:p>
    <w:p w14:paraId="70457E2F" w14:textId="069AFB65" w:rsidR="002956B8" w:rsidRPr="00BB729D" w:rsidRDefault="00597A27" w:rsidP="002956B8">
      <w:pPr>
        <w:pStyle w:val="Fuzeile1"/>
      </w:pPr>
      <w:r>
        <w:rPr>
          <w:bCs w:val="0"/>
          <w:iCs w:val="0"/>
          <w:lang w:val="it-IT"/>
        </w:rPr>
        <w:t xml:space="preserve">E-mail: </w:t>
      </w:r>
      <w:r>
        <w:rPr>
          <w:bCs w:val="0"/>
          <w:iCs w:val="0"/>
          <w:lang w:val="it-IT"/>
        </w:rPr>
        <w:tab/>
      </w:r>
      <w:r>
        <w:rPr>
          <w:bCs w:val="0"/>
          <w:iCs w:val="0"/>
          <w:lang w:val="it-IT"/>
        </w:rPr>
        <w:t>PR@wirtgen-group.com</w:t>
      </w:r>
      <w:r>
        <w:rPr>
          <w:bCs w:val="0"/>
          <w:iCs w:val="0"/>
          <w:lang w:val="it-IT"/>
        </w:rPr>
        <w:tab/>
      </w:r>
    </w:p>
    <w:p w14:paraId="3506CEBB" w14:textId="77777777" w:rsidR="002956B8" w:rsidRPr="00BB729D" w:rsidRDefault="002956B8" w:rsidP="002956B8">
      <w:pPr>
        <w:pStyle w:val="Fuzeile1"/>
        <w:rPr>
          <w:vanish/>
        </w:rPr>
      </w:pPr>
    </w:p>
    <w:p w14:paraId="6135A6EF" w14:textId="77777777" w:rsidR="002956B8" w:rsidRPr="00C730AE" w:rsidRDefault="00597A27" w:rsidP="002956B8">
      <w:pPr>
        <w:pStyle w:val="Fuzeile1"/>
      </w:pPr>
      <w:r>
        <w:rPr>
          <w:bCs w:val="0"/>
          <w:iCs w:val="0"/>
          <w:lang w:val="it-IT"/>
        </w:rPr>
        <w:t>www.wirtgen-group.com</w:t>
      </w:r>
    </w:p>
    <w:p w14:paraId="62521835" w14:textId="77777777" w:rsidR="002956B8" w:rsidRPr="00BB729D" w:rsidRDefault="002956B8" w:rsidP="002956B8">
      <w:pPr>
        <w:pStyle w:val="Absatzberschrift"/>
        <w:rPr>
          <w:iCs/>
        </w:rPr>
      </w:pPr>
    </w:p>
    <w:p w14:paraId="02778CFD" w14:textId="77777777" w:rsidR="002956B8" w:rsidRPr="00C730AE" w:rsidRDefault="002956B8" w:rsidP="002956B8">
      <w:pPr>
        <w:pStyle w:val="Absatzberschrift"/>
        <w:rPr>
          <w:iCs/>
        </w:rPr>
      </w:pPr>
    </w:p>
    <w:p w14:paraId="3F687052" w14:textId="77777777" w:rsidR="00F048D4" w:rsidRPr="00690BFC" w:rsidRDefault="00F048D4" w:rsidP="002956B8">
      <w:pPr>
        <w:pStyle w:val="Subhead"/>
      </w:pPr>
    </w:p>
    <w:sectPr w:rsidR="00F048D4" w:rsidRPr="00690BFC" w:rsidSect="00CA4A09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BAEA0" w14:textId="77777777" w:rsidR="00000000" w:rsidRDefault="00597A27">
      <w:r>
        <w:separator/>
      </w:r>
    </w:p>
  </w:endnote>
  <w:endnote w:type="continuationSeparator" w:id="0">
    <w:p w14:paraId="2BC003A4" w14:textId="77777777" w:rsidR="00000000" w:rsidRDefault="00597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44561C" w14:paraId="5A5C9548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1E344E1" w14:textId="77777777" w:rsidR="00533132" w:rsidRPr="00723F4F" w:rsidRDefault="00597A27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it-IT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36D667E5" w14:textId="77777777" w:rsidR="00533132" w:rsidRPr="00723F4F" w:rsidRDefault="00597A27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it-IT"/>
            </w:rPr>
            <w:fldChar w:fldCharType="begin"/>
          </w:r>
          <w:r>
            <w:rPr>
              <w:szCs w:val="20"/>
              <w:lang w:val="it-IT"/>
            </w:rPr>
            <w:instrText xml:space="preserve"> PAGE \# "00"</w:instrText>
          </w:r>
          <w:r>
            <w:rPr>
              <w:szCs w:val="20"/>
              <w:lang w:val="it-IT"/>
            </w:rPr>
            <w:fldChar w:fldCharType="separate"/>
          </w:r>
          <w:r>
            <w:rPr>
              <w:noProof/>
              <w:szCs w:val="20"/>
              <w:lang w:val="it-IT"/>
            </w:rPr>
            <w:t>02</w:t>
          </w:r>
          <w:r>
            <w:rPr>
              <w:szCs w:val="20"/>
              <w:lang w:val="it-IT"/>
            </w:rPr>
            <w:fldChar w:fldCharType="end"/>
          </w:r>
        </w:p>
      </w:tc>
    </w:tr>
  </w:tbl>
  <w:p w14:paraId="2CD7C3DF" w14:textId="77777777" w:rsidR="00533132" w:rsidRDefault="00597A27">
    <w:pPr>
      <w:pStyle w:val="Fuzeile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B2576B7" wp14:editId="3747FB2F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12" o:spid="_x0000_s2051" style="width:476.2pt;height:1.4pt;margin-top:802.3pt;margin-left:59.55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middle;z-index:251661312" fillcolor="#41535d" stroked="f" strokeweight="2pt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44561C" w14:paraId="18A98144" w14:textId="77777777" w:rsidTr="00723F4F">
      <w:tc>
        <w:tcPr>
          <w:tcW w:w="9664" w:type="dxa"/>
          <w:shd w:val="clear" w:color="auto" w:fill="auto"/>
        </w:tcPr>
        <w:p w14:paraId="30B7DD17" w14:textId="77777777" w:rsidR="00533132" w:rsidRPr="00723F4F" w:rsidRDefault="00597A27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Cs/>
              <w:iCs w:val="0"/>
              <w:szCs w:val="20"/>
              <w:lang w:val="it-IT"/>
            </w:rPr>
            <w:t>WIRTGEN GmbH</w:t>
          </w:r>
          <w:r>
            <w:rPr>
              <w:szCs w:val="20"/>
              <w:lang w:val="it-IT"/>
            </w:rPr>
            <w:t xml:space="preserve"> · Reinhard-Wirtgen-Str. 2 · D-53578 Windhagen · Tel.: +49 26 45 / 131 0</w:t>
          </w:r>
        </w:p>
      </w:tc>
    </w:tr>
  </w:tbl>
  <w:p w14:paraId="39D0D33D" w14:textId="77777777" w:rsidR="00533132" w:rsidRDefault="00597A27">
    <w:pPr>
      <w:pStyle w:val="Fuzeile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B24FE66" wp14:editId="15405710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6" o:spid="_x0000_s2054" style="width:476.2pt;height:1.4pt;margin-top:793.8pt;margin-left:59.55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middle;z-index:251659264" fillcolor="#41535d" stroked="f" strokeweight="2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1301C" w14:textId="77777777" w:rsidR="00000000" w:rsidRDefault="00597A27">
      <w:r>
        <w:separator/>
      </w:r>
    </w:p>
  </w:footnote>
  <w:footnote w:type="continuationSeparator" w:id="0">
    <w:p w14:paraId="09A3DBA1" w14:textId="77777777" w:rsidR="00000000" w:rsidRDefault="00597A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5891C" w14:textId="77777777" w:rsidR="005101B4" w:rsidRDefault="00597A27">
    <w:pPr>
      <w:pStyle w:val="Kopfzeile"/>
    </w:pPr>
    <w:r>
      <w:rPr>
        <w:noProof/>
        <w:lang w:val="it-IT"/>
      </w:rPr>
      <mc:AlternateContent>
        <mc:Choice Requires="wps">
          <w:drawing>
            <wp:anchor distT="0" distB="0" distL="0" distR="0" simplePos="0" relativeHeight="251660800" behindDoc="0" locked="0" layoutInCell="1" allowOverlap="1" wp14:anchorId="09EE725E" wp14:editId="1BA6472F">
              <wp:simplePos x="0" y="0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4" name="Textfeld 14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058C9A4" w14:textId="77777777" w:rsidR="00AC13EA" w:rsidRPr="00AC13EA" w:rsidRDefault="00597A27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it-IT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4" o:spid="_x0000_s2049" type="#_x0000_t202" alt="Public" style="width:34.95pt;height:34.95pt;margin-top:0.05pt;margin-left:-16.25pt;mso-position-horizontal:right;mso-position-horizontal-relative:right-margin-area;mso-wrap-distance-bottom:0;mso-wrap-distance-left:0;mso-wrap-distance-right:0;mso-wrap-distance-top:0;mso-wrap-style:none;position:absolute;visibility:visible;v-text-anchor:top;z-index:251666432" filled="f" stroked="f">
              <v:textbox style="mso-fit-shape-to-text:t" inset="0,0,15pt,0">
                <w:txbxContent>
                  <w:p w:rsidR="00AC13EA" w:rsidRPr="00AC13EA" w14:paraId="24D2ED4A" w14:textId="4AE5FF75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it-it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1A098" w14:textId="77777777" w:rsidR="00533132" w:rsidRPr="00533132" w:rsidRDefault="00597A27" w:rsidP="00533132">
    <w:pPr>
      <w:pStyle w:val="Kopfzeile"/>
    </w:pPr>
    <w:r>
      <w:rPr>
        <w:noProof/>
        <w:lang w:val="it-IT"/>
      </w:rPr>
      <mc:AlternateContent>
        <mc:Choice Requires="wps">
          <w:drawing>
            <wp:anchor distT="0" distB="0" distL="0" distR="0" simplePos="0" relativeHeight="251661824" behindDoc="0" locked="0" layoutInCell="1" allowOverlap="1" wp14:anchorId="5505910B" wp14:editId="519A2AF6">
              <wp:simplePos x="0" y="0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8" name="Textfeld 18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2E9FD1" w14:textId="77777777" w:rsidR="00AC13EA" w:rsidRPr="00AC13EA" w:rsidRDefault="00597A27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it-IT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8" o:spid="_x0000_s2050" type="#_x0000_t202" alt="Public" style="width:34.95pt;height:34.95pt;margin-top:0.05pt;margin-left:-16.25pt;mso-position-horizontal:right;mso-position-horizontal-relative:right-margin-area;mso-wrap-distance-bottom:0;mso-wrap-distance-left:0;mso-wrap-distance-right:0;mso-wrap-distance-top:0;mso-wrap-style:none;position:absolute;visibility:visible;v-text-anchor:top;z-index:251668480" filled="f" stroked="f">
              <v:textbox style="mso-fit-shape-to-text:t" inset="0,0,15pt,0">
                <w:txbxContent>
                  <w:p w:rsidR="00AC13EA" w:rsidRPr="00AC13EA" w14:paraId="519E20F2" w14:textId="3A62D61B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it-it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it-IT"/>
      </w:rPr>
      <w:drawing>
        <wp:anchor distT="0" distB="0" distL="114300" distR="114300" simplePos="0" relativeHeight="251658752" behindDoc="1" locked="0" layoutInCell="1" allowOverlap="1" wp14:anchorId="226F02A6" wp14:editId="17C567A2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Proposta comunicato stam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F47BA" w14:textId="77777777" w:rsidR="00533132" w:rsidRDefault="00597A27">
    <w:pPr>
      <w:pStyle w:val="Kopfzeile"/>
    </w:pPr>
    <w:r>
      <w:rPr>
        <w:noProof/>
        <w:lang w:val="it-IT"/>
      </w:rPr>
      <mc:AlternateContent>
        <mc:Choice Requires="wps">
          <w:drawing>
            <wp:anchor distT="0" distB="0" distL="0" distR="0" simplePos="0" relativeHeight="251659776" behindDoc="0" locked="0" layoutInCell="1" allowOverlap="1" wp14:anchorId="5F7C1676" wp14:editId="36768549">
              <wp:simplePos x="0" y="0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3" name="Textfeld 13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990946" w14:textId="77777777" w:rsidR="00AC13EA" w:rsidRPr="00AC13EA" w:rsidRDefault="00597A27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it-IT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3" o:spid="_x0000_s2052" type="#_x0000_t202" alt="Public" style="width:34.95pt;height:34.95pt;margin-top:0.05pt;margin-left:-16.25pt;mso-position-horizontal:right;mso-position-horizontal-relative:right-margin-area;mso-wrap-distance-bottom:0;mso-wrap-distance-left:0;mso-wrap-distance-right:0;mso-wrap-distance-top:0;mso-wrap-style:none;position:absolute;visibility:visible;v-text-anchor:top;z-index:251664384" filled="f" stroked="f">
              <v:textbox style="mso-fit-shape-to-text:t" inset="0,0,15pt,0">
                <w:txbxContent>
                  <w:p w:rsidR="00AC13EA" w:rsidRPr="00AC13EA" w14:paraId="777BEC1B" w14:textId="681DB760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it-it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BE401E1" wp14:editId="75291610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5" o:spid="_x0000_s2053" style="width:476.2pt;height:2.85pt;margin-top:73.7pt;margin-left:59.55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middle;z-index:251661312" fillcolor="#41535d" stroked="f" strokeweight="2pt"/>
          </w:pict>
        </mc:Fallback>
      </mc:AlternateContent>
    </w:r>
    <w:r>
      <w:rPr>
        <w:noProof/>
        <w:lang w:val="it-IT"/>
      </w:rPr>
      <w:drawing>
        <wp:anchor distT="0" distB="0" distL="114300" distR="114300" simplePos="0" relativeHeight="251655680" behindDoc="0" locked="0" layoutInCell="1" allowOverlap="1" wp14:anchorId="4440516F" wp14:editId="7280DF45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it-IT"/>
      </w:rPr>
      <w:drawing>
        <wp:anchor distT="0" distB="0" distL="114300" distR="114300" simplePos="0" relativeHeight="251653632" behindDoc="0" locked="0" layoutInCell="1" allowOverlap="1" wp14:anchorId="55025300" wp14:editId="5537076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"/>
      </v:shape>
    </w:pict>
  </w:numPicBullet>
  <w:numPicBullet w:numPicBulletId="1">
    <w:pict>
      <v:shape id="_x0000_i1027" type="#_x0000_t75" style="width:7.5pt;height:7.5pt" o:bullet="t">
        <v:imagedata r:id="rId2" o:title=""/>
      </v:shape>
    </w:pict>
  </w:numPicBullet>
  <w:abstractNum w:abstractNumId="0" w15:restartNumberingAfterBreak="0">
    <w:nsid w:val="02DA08EC"/>
    <w:multiLevelType w:val="hybridMultilevel"/>
    <w:tmpl w:val="3544FF0C"/>
    <w:lvl w:ilvl="0" w:tplc="6AB28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8010C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D837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7038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C4C6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4EEA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BAA5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50CF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7255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24F46ADD"/>
    <w:multiLevelType w:val="multilevel"/>
    <w:tmpl w:val="B1A82EFC"/>
    <w:numStyleLink w:val="zzzThemen"/>
  </w:abstractNum>
  <w:abstractNum w:abstractNumId="5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6"/>
  </w:num>
  <w:num w:numId="12">
    <w:abstractNumId w:val="6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2"/>
  </w:num>
  <w:num w:numId="19">
    <w:abstractNumId w:val="4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42106"/>
    <w:rsid w:val="000474ED"/>
    <w:rsid w:val="00051AAD"/>
    <w:rsid w:val="0005285B"/>
    <w:rsid w:val="00055529"/>
    <w:rsid w:val="00062371"/>
    <w:rsid w:val="00062C3A"/>
    <w:rsid w:val="000649AF"/>
    <w:rsid w:val="00066D09"/>
    <w:rsid w:val="000716F7"/>
    <w:rsid w:val="00092437"/>
    <w:rsid w:val="0009665C"/>
    <w:rsid w:val="00096BEC"/>
    <w:rsid w:val="000A0479"/>
    <w:rsid w:val="000A36D9"/>
    <w:rsid w:val="000A4C7D"/>
    <w:rsid w:val="000A65B5"/>
    <w:rsid w:val="000B1BB3"/>
    <w:rsid w:val="000B582B"/>
    <w:rsid w:val="000D15C3"/>
    <w:rsid w:val="000D25E7"/>
    <w:rsid w:val="000E24F8"/>
    <w:rsid w:val="000E5738"/>
    <w:rsid w:val="000E7D01"/>
    <w:rsid w:val="00103205"/>
    <w:rsid w:val="001120B2"/>
    <w:rsid w:val="00113A3A"/>
    <w:rsid w:val="0011795C"/>
    <w:rsid w:val="0012026F"/>
    <w:rsid w:val="0012631C"/>
    <w:rsid w:val="00130601"/>
    <w:rsid w:val="00132055"/>
    <w:rsid w:val="00146C3D"/>
    <w:rsid w:val="00153B47"/>
    <w:rsid w:val="001613A6"/>
    <w:rsid w:val="001614F0"/>
    <w:rsid w:val="001616F4"/>
    <w:rsid w:val="00175AEA"/>
    <w:rsid w:val="00175BF6"/>
    <w:rsid w:val="00177214"/>
    <w:rsid w:val="0018021A"/>
    <w:rsid w:val="00190803"/>
    <w:rsid w:val="00194FB1"/>
    <w:rsid w:val="001A08C8"/>
    <w:rsid w:val="001A0CCB"/>
    <w:rsid w:val="001A1920"/>
    <w:rsid w:val="001B16BB"/>
    <w:rsid w:val="001B34EE"/>
    <w:rsid w:val="001C1A3E"/>
    <w:rsid w:val="001C3D07"/>
    <w:rsid w:val="001C7305"/>
    <w:rsid w:val="001D072C"/>
    <w:rsid w:val="001F65C7"/>
    <w:rsid w:val="00200355"/>
    <w:rsid w:val="0021351D"/>
    <w:rsid w:val="002309FC"/>
    <w:rsid w:val="00253A2E"/>
    <w:rsid w:val="00254E4C"/>
    <w:rsid w:val="002603EC"/>
    <w:rsid w:val="002611FE"/>
    <w:rsid w:val="00265CAF"/>
    <w:rsid w:val="00282AFC"/>
    <w:rsid w:val="00283D98"/>
    <w:rsid w:val="00286C15"/>
    <w:rsid w:val="002906A9"/>
    <w:rsid w:val="002956B8"/>
    <w:rsid w:val="0029634D"/>
    <w:rsid w:val="002C7542"/>
    <w:rsid w:val="002D065C"/>
    <w:rsid w:val="002D0780"/>
    <w:rsid w:val="002D2EE5"/>
    <w:rsid w:val="002D63E6"/>
    <w:rsid w:val="002E765F"/>
    <w:rsid w:val="002E7E4E"/>
    <w:rsid w:val="002F108B"/>
    <w:rsid w:val="002F5818"/>
    <w:rsid w:val="002F5D71"/>
    <w:rsid w:val="002F70FD"/>
    <w:rsid w:val="0030316D"/>
    <w:rsid w:val="00303ADF"/>
    <w:rsid w:val="003075ED"/>
    <w:rsid w:val="00320155"/>
    <w:rsid w:val="0032774C"/>
    <w:rsid w:val="00332D28"/>
    <w:rsid w:val="003353C3"/>
    <w:rsid w:val="00337387"/>
    <w:rsid w:val="0034191A"/>
    <w:rsid w:val="00343CC7"/>
    <w:rsid w:val="003513AA"/>
    <w:rsid w:val="00356B5C"/>
    <w:rsid w:val="0036561D"/>
    <w:rsid w:val="003665BE"/>
    <w:rsid w:val="003845B7"/>
    <w:rsid w:val="00384A08"/>
    <w:rsid w:val="00387E6F"/>
    <w:rsid w:val="003967E5"/>
    <w:rsid w:val="003A4C35"/>
    <w:rsid w:val="003A6484"/>
    <w:rsid w:val="003A753A"/>
    <w:rsid w:val="003B3803"/>
    <w:rsid w:val="003B51F6"/>
    <w:rsid w:val="003C2A71"/>
    <w:rsid w:val="003D09FB"/>
    <w:rsid w:val="003E164D"/>
    <w:rsid w:val="003E1CB6"/>
    <w:rsid w:val="003E3CF6"/>
    <w:rsid w:val="003E759F"/>
    <w:rsid w:val="003E7853"/>
    <w:rsid w:val="003F24FB"/>
    <w:rsid w:val="003F57AB"/>
    <w:rsid w:val="00400FD9"/>
    <w:rsid w:val="004016F7"/>
    <w:rsid w:val="00403373"/>
    <w:rsid w:val="00406C81"/>
    <w:rsid w:val="00412545"/>
    <w:rsid w:val="0041475A"/>
    <w:rsid w:val="004167DE"/>
    <w:rsid w:val="00417237"/>
    <w:rsid w:val="00423A73"/>
    <w:rsid w:val="004300BA"/>
    <w:rsid w:val="00430BB0"/>
    <w:rsid w:val="0044561C"/>
    <w:rsid w:val="00457B6A"/>
    <w:rsid w:val="00461FED"/>
    <w:rsid w:val="0046460D"/>
    <w:rsid w:val="00467F3C"/>
    <w:rsid w:val="0047498D"/>
    <w:rsid w:val="00476100"/>
    <w:rsid w:val="00486DB0"/>
    <w:rsid w:val="00487BFC"/>
    <w:rsid w:val="004941EB"/>
    <w:rsid w:val="0049666B"/>
    <w:rsid w:val="004A463B"/>
    <w:rsid w:val="004C1967"/>
    <w:rsid w:val="004D16DB"/>
    <w:rsid w:val="004D23D0"/>
    <w:rsid w:val="004D2BE0"/>
    <w:rsid w:val="004D3C28"/>
    <w:rsid w:val="004D5856"/>
    <w:rsid w:val="004E0979"/>
    <w:rsid w:val="004E2773"/>
    <w:rsid w:val="004E2D55"/>
    <w:rsid w:val="004E6466"/>
    <w:rsid w:val="004E6EF5"/>
    <w:rsid w:val="004E7197"/>
    <w:rsid w:val="004F5B47"/>
    <w:rsid w:val="004F5E5D"/>
    <w:rsid w:val="00506409"/>
    <w:rsid w:val="005101B4"/>
    <w:rsid w:val="0052300F"/>
    <w:rsid w:val="00530E32"/>
    <w:rsid w:val="00533132"/>
    <w:rsid w:val="00537210"/>
    <w:rsid w:val="005475CA"/>
    <w:rsid w:val="005649F4"/>
    <w:rsid w:val="005710C8"/>
    <w:rsid w:val="005711A3"/>
    <w:rsid w:val="00571A5C"/>
    <w:rsid w:val="00573B2B"/>
    <w:rsid w:val="005776E9"/>
    <w:rsid w:val="00585300"/>
    <w:rsid w:val="00587AD9"/>
    <w:rsid w:val="005909A8"/>
    <w:rsid w:val="00597A27"/>
    <w:rsid w:val="005A4F04"/>
    <w:rsid w:val="005B5793"/>
    <w:rsid w:val="005C6B30"/>
    <w:rsid w:val="005C71EC"/>
    <w:rsid w:val="005D1707"/>
    <w:rsid w:val="005D29B1"/>
    <w:rsid w:val="005D62FC"/>
    <w:rsid w:val="005E764C"/>
    <w:rsid w:val="005E7F7D"/>
    <w:rsid w:val="006000B0"/>
    <w:rsid w:val="006063D4"/>
    <w:rsid w:val="00621E51"/>
    <w:rsid w:val="00623B37"/>
    <w:rsid w:val="006330A2"/>
    <w:rsid w:val="00642EB6"/>
    <w:rsid w:val="006433E2"/>
    <w:rsid w:val="00651E5D"/>
    <w:rsid w:val="00655350"/>
    <w:rsid w:val="0067407B"/>
    <w:rsid w:val="00677F11"/>
    <w:rsid w:val="00682B1A"/>
    <w:rsid w:val="00690BFC"/>
    <w:rsid w:val="00690D7C"/>
    <w:rsid w:val="00690DFE"/>
    <w:rsid w:val="006B3EEC"/>
    <w:rsid w:val="006C0C87"/>
    <w:rsid w:val="006D0B5A"/>
    <w:rsid w:val="006D3B7D"/>
    <w:rsid w:val="006D6CC6"/>
    <w:rsid w:val="006D7EAC"/>
    <w:rsid w:val="006E0104"/>
    <w:rsid w:val="006F7602"/>
    <w:rsid w:val="00722A17"/>
    <w:rsid w:val="00723F4F"/>
    <w:rsid w:val="00725442"/>
    <w:rsid w:val="00740A91"/>
    <w:rsid w:val="00741BE5"/>
    <w:rsid w:val="00754B80"/>
    <w:rsid w:val="00754E1B"/>
    <w:rsid w:val="00755AE0"/>
    <w:rsid w:val="0075761B"/>
    <w:rsid w:val="00757B83"/>
    <w:rsid w:val="007612D0"/>
    <w:rsid w:val="00761D67"/>
    <w:rsid w:val="00765D74"/>
    <w:rsid w:val="00774358"/>
    <w:rsid w:val="00791A69"/>
    <w:rsid w:val="00793A3A"/>
    <w:rsid w:val="0079462A"/>
    <w:rsid w:val="00794830"/>
    <w:rsid w:val="00797CAA"/>
    <w:rsid w:val="007A1A9C"/>
    <w:rsid w:val="007A2B6F"/>
    <w:rsid w:val="007A6607"/>
    <w:rsid w:val="007A6BD2"/>
    <w:rsid w:val="007A780E"/>
    <w:rsid w:val="007B2D6D"/>
    <w:rsid w:val="007C2658"/>
    <w:rsid w:val="007D3B22"/>
    <w:rsid w:val="007D59A2"/>
    <w:rsid w:val="007E20D0"/>
    <w:rsid w:val="007E3DAB"/>
    <w:rsid w:val="007F2A04"/>
    <w:rsid w:val="007F5AC2"/>
    <w:rsid w:val="008053B3"/>
    <w:rsid w:val="00820315"/>
    <w:rsid w:val="00823073"/>
    <w:rsid w:val="0082316D"/>
    <w:rsid w:val="00832921"/>
    <w:rsid w:val="00834472"/>
    <w:rsid w:val="00836A5D"/>
    <w:rsid w:val="008427B1"/>
    <w:rsid w:val="008427F2"/>
    <w:rsid w:val="00843B45"/>
    <w:rsid w:val="0084571C"/>
    <w:rsid w:val="00846AFA"/>
    <w:rsid w:val="008475CB"/>
    <w:rsid w:val="008514C9"/>
    <w:rsid w:val="00856F5A"/>
    <w:rsid w:val="00863129"/>
    <w:rsid w:val="00866830"/>
    <w:rsid w:val="008677CD"/>
    <w:rsid w:val="00870ACE"/>
    <w:rsid w:val="00873125"/>
    <w:rsid w:val="008755E5"/>
    <w:rsid w:val="00881E44"/>
    <w:rsid w:val="00885678"/>
    <w:rsid w:val="00887D7F"/>
    <w:rsid w:val="00892F6F"/>
    <w:rsid w:val="00896F7E"/>
    <w:rsid w:val="008A30C2"/>
    <w:rsid w:val="008A3769"/>
    <w:rsid w:val="008B28D7"/>
    <w:rsid w:val="008C2A29"/>
    <w:rsid w:val="008C2DB2"/>
    <w:rsid w:val="008C740D"/>
    <w:rsid w:val="008D2B87"/>
    <w:rsid w:val="008D770E"/>
    <w:rsid w:val="0090337E"/>
    <w:rsid w:val="009049D8"/>
    <w:rsid w:val="00910609"/>
    <w:rsid w:val="00915841"/>
    <w:rsid w:val="009328FA"/>
    <w:rsid w:val="00936A78"/>
    <w:rsid w:val="009375E1"/>
    <w:rsid w:val="009405D6"/>
    <w:rsid w:val="00940FF7"/>
    <w:rsid w:val="0094254F"/>
    <w:rsid w:val="00952853"/>
    <w:rsid w:val="009646E4"/>
    <w:rsid w:val="0097289D"/>
    <w:rsid w:val="00977EC3"/>
    <w:rsid w:val="009853B6"/>
    <w:rsid w:val="0098631D"/>
    <w:rsid w:val="00993C82"/>
    <w:rsid w:val="009A1218"/>
    <w:rsid w:val="009B0DCD"/>
    <w:rsid w:val="009B17A9"/>
    <w:rsid w:val="009B211F"/>
    <w:rsid w:val="009B7C05"/>
    <w:rsid w:val="009C2378"/>
    <w:rsid w:val="009C4446"/>
    <w:rsid w:val="009C5A77"/>
    <w:rsid w:val="009C5D99"/>
    <w:rsid w:val="009D016F"/>
    <w:rsid w:val="009D4AF0"/>
    <w:rsid w:val="009E251D"/>
    <w:rsid w:val="009E4817"/>
    <w:rsid w:val="009F10A8"/>
    <w:rsid w:val="009F715C"/>
    <w:rsid w:val="009F7528"/>
    <w:rsid w:val="00A02F49"/>
    <w:rsid w:val="00A171F4"/>
    <w:rsid w:val="00A1772D"/>
    <w:rsid w:val="00A177B2"/>
    <w:rsid w:val="00A20C22"/>
    <w:rsid w:val="00A24EFC"/>
    <w:rsid w:val="00A27829"/>
    <w:rsid w:val="00A465E6"/>
    <w:rsid w:val="00A46F1E"/>
    <w:rsid w:val="00A50B95"/>
    <w:rsid w:val="00A5608A"/>
    <w:rsid w:val="00A6011D"/>
    <w:rsid w:val="00A66B3F"/>
    <w:rsid w:val="00A82395"/>
    <w:rsid w:val="00A8332D"/>
    <w:rsid w:val="00A9162D"/>
    <w:rsid w:val="00A9295C"/>
    <w:rsid w:val="00A95A11"/>
    <w:rsid w:val="00A977CE"/>
    <w:rsid w:val="00AA0DF7"/>
    <w:rsid w:val="00AA5014"/>
    <w:rsid w:val="00AB1518"/>
    <w:rsid w:val="00AB52F9"/>
    <w:rsid w:val="00AC0E0C"/>
    <w:rsid w:val="00AC13EA"/>
    <w:rsid w:val="00AC5330"/>
    <w:rsid w:val="00AD131F"/>
    <w:rsid w:val="00AD32D5"/>
    <w:rsid w:val="00AD70E4"/>
    <w:rsid w:val="00AE4AB4"/>
    <w:rsid w:val="00AF3B3A"/>
    <w:rsid w:val="00AF4E8E"/>
    <w:rsid w:val="00AF647B"/>
    <w:rsid w:val="00AF6569"/>
    <w:rsid w:val="00B06265"/>
    <w:rsid w:val="00B1299E"/>
    <w:rsid w:val="00B22DF6"/>
    <w:rsid w:val="00B34767"/>
    <w:rsid w:val="00B5232A"/>
    <w:rsid w:val="00B60ED1"/>
    <w:rsid w:val="00B62CF5"/>
    <w:rsid w:val="00B82BC8"/>
    <w:rsid w:val="00B85705"/>
    <w:rsid w:val="00B874DC"/>
    <w:rsid w:val="00B90F78"/>
    <w:rsid w:val="00B9252A"/>
    <w:rsid w:val="00BA554B"/>
    <w:rsid w:val="00BB729D"/>
    <w:rsid w:val="00BC1943"/>
    <w:rsid w:val="00BD1058"/>
    <w:rsid w:val="00BD25D1"/>
    <w:rsid w:val="00BD3A32"/>
    <w:rsid w:val="00BD5391"/>
    <w:rsid w:val="00BD764C"/>
    <w:rsid w:val="00BE6771"/>
    <w:rsid w:val="00BF56B2"/>
    <w:rsid w:val="00C055AB"/>
    <w:rsid w:val="00C11F95"/>
    <w:rsid w:val="00C136DF"/>
    <w:rsid w:val="00C17501"/>
    <w:rsid w:val="00C22C10"/>
    <w:rsid w:val="00C24641"/>
    <w:rsid w:val="00C37881"/>
    <w:rsid w:val="00C40627"/>
    <w:rsid w:val="00C43EAF"/>
    <w:rsid w:val="00C457C3"/>
    <w:rsid w:val="00C53EE1"/>
    <w:rsid w:val="00C61DB4"/>
    <w:rsid w:val="00C644CA"/>
    <w:rsid w:val="00C658FC"/>
    <w:rsid w:val="00C71677"/>
    <w:rsid w:val="00C73005"/>
    <w:rsid w:val="00C730AE"/>
    <w:rsid w:val="00C81283"/>
    <w:rsid w:val="00C84183"/>
    <w:rsid w:val="00C84D75"/>
    <w:rsid w:val="00C85E18"/>
    <w:rsid w:val="00C96E9F"/>
    <w:rsid w:val="00CA4A09"/>
    <w:rsid w:val="00CB6135"/>
    <w:rsid w:val="00CB71DD"/>
    <w:rsid w:val="00CC5A63"/>
    <w:rsid w:val="00CC787C"/>
    <w:rsid w:val="00CD151C"/>
    <w:rsid w:val="00CF2C23"/>
    <w:rsid w:val="00CF36C9"/>
    <w:rsid w:val="00D00EC4"/>
    <w:rsid w:val="00D166AC"/>
    <w:rsid w:val="00D200BF"/>
    <w:rsid w:val="00D316A5"/>
    <w:rsid w:val="00D32DFF"/>
    <w:rsid w:val="00D36BA2"/>
    <w:rsid w:val="00D37CF4"/>
    <w:rsid w:val="00D4487C"/>
    <w:rsid w:val="00D51F02"/>
    <w:rsid w:val="00D63D33"/>
    <w:rsid w:val="00D73352"/>
    <w:rsid w:val="00D75195"/>
    <w:rsid w:val="00D75BA3"/>
    <w:rsid w:val="00D935C3"/>
    <w:rsid w:val="00DA0266"/>
    <w:rsid w:val="00DA477E"/>
    <w:rsid w:val="00DB01DB"/>
    <w:rsid w:val="00DB2E75"/>
    <w:rsid w:val="00DB4BB0"/>
    <w:rsid w:val="00DE461D"/>
    <w:rsid w:val="00DE7951"/>
    <w:rsid w:val="00E04039"/>
    <w:rsid w:val="00E07791"/>
    <w:rsid w:val="00E14608"/>
    <w:rsid w:val="00E15EBE"/>
    <w:rsid w:val="00E21E67"/>
    <w:rsid w:val="00E24215"/>
    <w:rsid w:val="00E30EBF"/>
    <w:rsid w:val="00E316C0"/>
    <w:rsid w:val="00E31E03"/>
    <w:rsid w:val="00E37146"/>
    <w:rsid w:val="00E451CD"/>
    <w:rsid w:val="00E47BF6"/>
    <w:rsid w:val="00E51170"/>
    <w:rsid w:val="00E52D70"/>
    <w:rsid w:val="00E55534"/>
    <w:rsid w:val="00E7116D"/>
    <w:rsid w:val="00E72429"/>
    <w:rsid w:val="00E914D1"/>
    <w:rsid w:val="00E960D8"/>
    <w:rsid w:val="00EB5925"/>
    <w:rsid w:val="00EB5FCA"/>
    <w:rsid w:val="00EC214D"/>
    <w:rsid w:val="00EE2898"/>
    <w:rsid w:val="00F048D4"/>
    <w:rsid w:val="00F1573B"/>
    <w:rsid w:val="00F20920"/>
    <w:rsid w:val="00F20E0A"/>
    <w:rsid w:val="00F23212"/>
    <w:rsid w:val="00F24619"/>
    <w:rsid w:val="00F33B16"/>
    <w:rsid w:val="00F34BEF"/>
    <w:rsid w:val="00F353EA"/>
    <w:rsid w:val="00F36C27"/>
    <w:rsid w:val="00F53002"/>
    <w:rsid w:val="00F56318"/>
    <w:rsid w:val="00F67C95"/>
    <w:rsid w:val="00F74540"/>
    <w:rsid w:val="00F75B79"/>
    <w:rsid w:val="00F82525"/>
    <w:rsid w:val="00F877B1"/>
    <w:rsid w:val="00F90025"/>
    <w:rsid w:val="00F90D87"/>
    <w:rsid w:val="00F911CB"/>
    <w:rsid w:val="00F91AC4"/>
    <w:rsid w:val="00F97FEA"/>
    <w:rsid w:val="00FB0DB2"/>
    <w:rsid w:val="00FB60E1"/>
    <w:rsid w:val="00FD3768"/>
    <w:rsid w:val="00FD51E9"/>
    <w:rsid w:val="00FE2795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0F5ED53D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81283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81283"/>
    <w:rPr>
      <w:color w:val="800080" w:themeColor="followedHyperlink"/>
      <w:u w:val="single"/>
    </w:rPr>
  </w:style>
  <w:style w:type="paragraph" w:styleId="berarbeitung">
    <w:name w:val="Revision"/>
    <w:hidden/>
    <w:uiPriority w:val="71"/>
    <w:semiHidden/>
    <w:rsid w:val="007A1A9C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5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4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18DAE6F07B6845BEE47EE54C3AC3C2" ma:contentTypeVersion="18" ma:contentTypeDescription="Ein neues Dokument erstellen." ma:contentTypeScope="" ma:versionID="0a4da4d31a5d913caf5fdf38b8d673bc">
  <xsd:schema xmlns:xsd="http://www.w3.org/2001/XMLSchema" xmlns:xs="http://www.w3.org/2001/XMLSchema" xmlns:p="http://schemas.microsoft.com/office/2006/metadata/properties" xmlns:ns2="e96c27b8-2d29-4a7a-ae10-f8366d994bd4" xmlns:ns3="36de0c64-9d62-47f1-8717-50af5e16010b" targetNamespace="http://schemas.microsoft.com/office/2006/metadata/properties" ma:root="true" ma:fieldsID="a300fa219b8f5d5f5e9517058d7bff02" ns2:_="" ns3:_="">
    <xsd:import namespace="e96c27b8-2d29-4a7a-ae10-f8366d994bd4"/>
    <xsd:import namespace="36de0c64-9d62-47f1-8717-50af5e1601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6c27b8-2d29-4a7a-ae10-f8366d994b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071802b5-93d8-47bf-83ac-5de0426ff0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e0c64-9d62-47f1-8717-50af5e16010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360cba9e-d126-4eb3-87f4-671245ad0e86}" ma:internalName="TaxCatchAll" ma:showField="CatchAllData" ma:web="36de0c64-9d62-47f1-8717-50af5e1601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6c27b8-2d29-4a7a-ae10-f8366d994bd4">
      <Terms xmlns="http://schemas.microsoft.com/office/infopath/2007/PartnerControls"/>
    </lcf76f155ced4ddcb4097134ff3c332f>
    <TaxCatchAll xmlns="36de0c64-9d62-47f1-8717-50af5e16010b" xsi:nil="true"/>
  </documentManagement>
</p:properties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2C0B0E-274B-402F-9C9A-645EA9E45F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6c27b8-2d29-4a7a-ae10-f8366d994bd4"/>
    <ds:schemaRef ds:uri="36de0c64-9d62-47f1-8717-50af5e1601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D009BE-D52F-4677-B6E6-DBD022B8E4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609B16-B377-4174-A3E9-48CC0E4AA61D}">
  <ds:schemaRefs>
    <ds:schemaRef ds:uri="http://schemas.microsoft.com/office/2006/metadata/properties"/>
    <ds:schemaRef ds:uri="http://schemas.microsoft.com/office/infopath/2007/PartnerControls"/>
    <ds:schemaRef ds:uri="e96c27b8-2d29-4a7a-ae10-f8366d994bd4"/>
    <ds:schemaRef ds:uri="36de0c64-9d62-47f1-8717-50af5e16010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916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6674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Zierden-Schwietert Monika</cp:lastModifiedBy>
  <cp:revision>6</cp:revision>
  <cp:lastPrinted>2021-10-28T15:19:00Z</cp:lastPrinted>
  <dcterms:created xsi:type="dcterms:W3CDTF">2025-06-05T10:41:00Z</dcterms:created>
  <dcterms:modified xsi:type="dcterms:W3CDTF">2025-06-13T09:35:00Z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#ff0000,10,Calibri</vt:lpwstr>
  </property>
  <property fmtid="{D5CDD505-2E9C-101B-9397-08002B2CF9AE}" pid="3" name="ClassificationContentMarkingHeaderShapeIds">
    <vt:lpwstr>d,e,12</vt:lpwstr>
  </property>
  <property fmtid="{D5CDD505-2E9C-101B-9397-08002B2CF9AE}" pid="4" name="ClassificationContentMarkingHeaderText">
    <vt:lpwstr>Public</vt:lpwstr>
  </property>
  <property fmtid="{D5CDD505-2E9C-101B-9397-08002B2CF9AE}" pid="5" name="ContentTypeId">
    <vt:lpwstr>0x0101007718DAE6F07B6845BEE47EE54C3AC3C2</vt:lpwstr>
  </property>
  <property fmtid="{D5CDD505-2E9C-101B-9397-08002B2CF9AE}" pid="6" name="MediaServiceImageTags">
    <vt:lpwstr/>
  </property>
  <property fmtid="{D5CDD505-2E9C-101B-9397-08002B2CF9AE}" pid="7" name="MSIP_Label_df1a195f-122b-42dc-a2d3-71a1903dcdac_ActionId">
    <vt:lpwstr>b984dd05-5c2c-415e-b0ad-8d88393dcbc3</vt:lpwstr>
  </property>
  <property fmtid="{D5CDD505-2E9C-101B-9397-08002B2CF9AE}" pid="8" name="MSIP_Label_df1a195f-122b-42dc-a2d3-71a1903dcdac_ContentBits">
    <vt:lpwstr>1</vt:lpwstr>
  </property>
  <property fmtid="{D5CDD505-2E9C-101B-9397-08002B2CF9AE}" pid="9" name="MSIP_Label_df1a195f-122b-42dc-a2d3-71a1903dcdac_Enabled">
    <vt:lpwstr>true</vt:lpwstr>
  </property>
  <property fmtid="{D5CDD505-2E9C-101B-9397-08002B2CF9AE}" pid="10" name="MSIP_Label_df1a195f-122b-42dc-a2d3-71a1903dcdac_Method">
    <vt:lpwstr>Privileged</vt:lpwstr>
  </property>
  <property fmtid="{D5CDD505-2E9C-101B-9397-08002B2CF9AE}" pid="11" name="MSIP_Label_df1a195f-122b-42dc-a2d3-71a1903dcdac_Name">
    <vt:lpwstr>Public</vt:lpwstr>
  </property>
  <property fmtid="{D5CDD505-2E9C-101B-9397-08002B2CF9AE}" pid="12" name="MSIP_Label_df1a195f-122b-42dc-a2d3-71a1903dcdac_SetDate">
    <vt:lpwstr>2022-05-24T11:34:19Z</vt:lpwstr>
  </property>
  <property fmtid="{D5CDD505-2E9C-101B-9397-08002B2CF9AE}" pid="13" name="MSIP_Label_df1a195f-122b-42dc-a2d3-71a1903dcdac_SiteId">
    <vt:lpwstr>4aa45fee-62ee-49ff-a377-c53bd72cd986</vt:lpwstr>
  </property>
</Properties>
</file>