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549190D4" w:rsidR="007F2EBD" w:rsidRPr="00B302DF" w:rsidRDefault="00FA1C42" w:rsidP="007F2EBD">
      <w:pPr>
        <w:pStyle w:val="Head"/>
      </w:pPr>
      <w:r>
        <w:rPr>
          <w:lang w:val="es-ES"/>
        </w:rPr>
        <w:t xml:space="preserve">Benninghoven│CORE para trabajar con potencia y flexibilidad </w:t>
      </w:r>
    </w:p>
    <w:p w14:paraId="42270004" w14:textId="4131D115" w:rsidR="007F2EBD" w:rsidRPr="00B302DF" w:rsidRDefault="00135561" w:rsidP="007F2EBD">
      <w:pPr>
        <w:pStyle w:val="Subhead"/>
      </w:pPr>
      <w:r>
        <w:rPr>
          <w:bCs/>
          <w:iCs w:val="0"/>
          <w:lang w:val="es-ES"/>
        </w:rPr>
        <w:t>La nueva generación de equipos de mezcla de asfalto de Benninghoven, centrada en bajar costes operativos</w:t>
      </w:r>
    </w:p>
    <w:p w14:paraId="6D386F65" w14:textId="56A44B3C" w:rsidR="007F2EBD" w:rsidRPr="00B302DF" w:rsidRDefault="00DD0DB6" w:rsidP="007F2EBD">
      <w:pPr>
        <w:pStyle w:val="Teaser"/>
        <w:rPr>
          <w:b w:val="0"/>
          <w:bCs/>
        </w:rPr>
      </w:pPr>
      <w:r>
        <w:rPr>
          <w:b w:val="0"/>
          <w:i/>
          <w:iCs/>
          <w:lang w:val="es-ES"/>
        </w:rPr>
        <w:t>Wittlich, 11 de agosto 2026</w:t>
      </w:r>
      <w:r>
        <w:rPr>
          <w:b w:val="0"/>
          <w:lang w:val="es-ES"/>
        </w:rPr>
        <w:t xml:space="preserve">. </w:t>
      </w:r>
      <w:r>
        <w:rPr>
          <w:bCs/>
          <w:lang w:val="es-ES"/>
        </w:rPr>
        <w:t xml:space="preserve">Con el nuevo modelo CORE, Benninghoven va a ampliar de inmediato su cartera con un equipo de mezcla de asfalto que ofrece costes atractivos, diversidad de opciones claramente definida, un concepto sencillo en cuanto a diseño, transporte y montaje y tecnologías avanzadas. El nuevo producto apuesta decididamente por la rentabilidad a largo plazo y por reducir los costes operativos totales a lo largo de todo su ciclo de vida. </w:t>
      </w:r>
    </w:p>
    <w:p w14:paraId="29165CA5" w14:textId="17B7F68E" w:rsidR="007F2EBD" w:rsidRPr="00B302DF" w:rsidRDefault="00FA1C42" w:rsidP="007F2EBD">
      <w:pPr>
        <w:pStyle w:val="Absatzberschrift"/>
      </w:pPr>
      <w:r>
        <w:rPr>
          <w:bCs/>
          <w:lang w:val="es-ES"/>
        </w:rPr>
        <w:t>Para lograr asfalto de alta calidad y estabilidad de los procesos</w:t>
      </w:r>
    </w:p>
    <w:p w14:paraId="59ECEF98" w14:textId="687C6D0C" w:rsidR="007F2EBD" w:rsidRPr="00B302DF" w:rsidRDefault="00FA1C42" w:rsidP="007F2EBD">
      <w:pPr>
        <w:pStyle w:val="Standardabsatz"/>
      </w:pPr>
      <w:r>
        <w:rPr>
          <w:lang w:val="es-ES"/>
        </w:rPr>
        <w:t xml:space="preserve">A partir de la bondad comprobada de las tecnologías Benninghoven, CORE es un equipo utilizable en cualquier parte del mundo que, a lo largo de todo su ciclo de vida, ofrece rendimiento fiable, altas calidades de asfalto y seguridad como inversión. Transportable y muy flexible, el equipo de mezcla de asfalto por lotes trabaja según el procedimiento </w:t>
      </w:r>
      <w:r>
        <w:rPr>
          <w:i/>
          <w:iCs/>
          <w:lang w:val="es-ES"/>
        </w:rPr>
        <w:t>batch</w:t>
      </w:r>
      <w:r>
        <w:rPr>
          <w:lang w:val="es-ES"/>
        </w:rPr>
        <w:t xml:space="preserve"> y asegura la preparación de mezclas asfálticas de alta calidad mediante recetas muy diversas, que incluyen cuotas de adición de material reciclado de hasta el 40 %. Si se necesita incrementar la producción, se cuenta con interfaces preparadas para reequipar componentes con flexibilidad y reaccionar así con rapidez a las demandas cambiantes del mercado.</w:t>
      </w:r>
    </w:p>
    <w:p w14:paraId="71B08943" w14:textId="08704A11" w:rsidR="007F2EBD" w:rsidRPr="00B302DF" w:rsidRDefault="00020962" w:rsidP="007F2EBD">
      <w:pPr>
        <w:pStyle w:val="Absatzberschrift"/>
      </w:pPr>
      <w:r>
        <w:rPr>
          <w:bCs/>
          <w:lang w:val="es-ES"/>
        </w:rPr>
        <w:t xml:space="preserve">Tecnología bien pensada que reduce costes operativos </w:t>
      </w:r>
    </w:p>
    <w:p w14:paraId="7AD9DAA9" w14:textId="77777777" w:rsidR="00FA1C42" w:rsidRPr="00FA1C42" w:rsidRDefault="00FA1C42" w:rsidP="00FA1C42">
      <w:pPr>
        <w:jc w:val="both"/>
        <w:rPr>
          <w:rFonts w:eastAsiaTheme="minorHAnsi" w:cstheme="minorBidi"/>
          <w:sz w:val="22"/>
          <w:szCs w:val="24"/>
        </w:rPr>
      </w:pPr>
      <w:r>
        <w:rPr>
          <w:rFonts w:eastAsiaTheme="minorHAnsi" w:cstheme="minorBidi"/>
          <w:sz w:val="22"/>
          <w:szCs w:val="24"/>
          <w:lang w:val="es-ES"/>
        </w:rPr>
        <w:t>CORE satisface las exigencias de los operadores de plantas en cuanto a seguridad de la planificación y fiabilidad al mantener los costes operativos corrientes y calculables en el nivel más reducido y transparente que resulta posible. Especial atención se ha puesto en optimizar factores esenciales de costes como son los consumos de energía y de combustible. Los modernos convertidores de frecuencias instalados en componentes como el sistema aspirador o el tambor de secado ajustan la potencia conforme a la demanda, contribuyendo a reducir el consumo energético.</w:t>
      </w:r>
    </w:p>
    <w:p w14:paraId="12A67604" w14:textId="77777777" w:rsidR="00FA1C42" w:rsidRPr="00FA1C42" w:rsidRDefault="00FA1C42" w:rsidP="00FA1C42">
      <w:pPr>
        <w:jc w:val="both"/>
        <w:rPr>
          <w:rFonts w:eastAsiaTheme="minorHAnsi" w:cstheme="minorBidi"/>
          <w:sz w:val="22"/>
          <w:szCs w:val="24"/>
        </w:rPr>
      </w:pPr>
      <w:r>
        <w:rPr>
          <w:rFonts w:eastAsiaTheme="minorHAnsi" w:cstheme="minorBidi"/>
          <w:sz w:val="22"/>
          <w:szCs w:val="24"/>
          <w:lang w:val="es-ES"/>
        </w:rPr>
        <w:t xml:space="preserve">El procedimiento gana aún más flexibilidad gracias al nuevo multiquemador MULTI JET, que permite usar simultáneamente hasta cuatro combustibles. De este modo, los operadores de planta pueden reaccionar con rapidez a las oscilaciones en los precios y disponibilidades de la energía. </w:t>
      </w:r>
    </w:p>
    <w:p w14:paraId="1C8EB086" w14:textId="170A2B3B" w:rsidR="007F2EBD" w:rsidRPr="00FA1C42" w:rsidRDefault="00FA1C42" w:rsidP="00FA1C42">
      <w:pPr>
        <w:pStyle w:val="Standardabsatz"/>
      </w:pPr>
      <w:r>
        <w:rPr>
          <w:lang w:val="es-ES"/>
        </w:rPr>
        <w:t xml:space="preserve">La integración de un sistema </w:t>
      </w:r>
      <w:r>
        <w:rPr>
          <w:i/>
          <w:iCs/>
          <w:lang w:val="es-ES"/>
        </w:rPr>
        <w:t xml:space="preserve">smart weighing </w:t>
      </w:r>
      <w:r>
        <w:rPr>
          <w:lang w:val="es-ES"/>
        </w:rPr>
        <w:t>ayuda asimismo a que el equipo produzca una calidad del asfalto optimizada. Gracias a la precisa exactitud de formulación se evitan sobredosificaciones al tiempo que se cumplen pautas de tolerancia estrictas incluso con fluctuaciones en flujos de material y temperaturas.</w:t>
      </w:r>
    </w:p>
    <w:p w14:paraId="2916CEC9" w14:textId="7DBBE166" w:rsidR="007F2EBD" w:rsidRPr="00B302DF" w:rsidRDefault="00FA1C42" w:rsidP="007F2EBD">
      <w:pPr>
        <w:pStyle w:val="Absatzberschrift"/>
      </w:pPr>
      <w:r>
        <w:rPr>
          <w:bCs/>
          <w:lang w:val="es-ES"/>
        </w:rPr>
        <w:t>Nuevo diseño y un concepto simple de montaje</w:t>
      </w:r>
    </w:p>
    <w:p w14:paraId="32FBE36D" w14:textId="77777777" w:rsidR="00FA1C42" w:rsidRPr="00FA1C42" w:rsidRDefault="00FA1C42" w:rsidP="00FA1C42">
      <w:pPr>
        <w:jc w:val="both"/>
        <w:rPr>
          <w:rFonts w:eastAsiaTheme="minorHAnsi" w:cstheme="minorBidi"/>
          <w:sz w:val="22"/>
          <w:szCs w:val="24"/>
        </w:rPr>
      </w:pPr>
      <w:r>
        <w:rPr>
          <w:rFonts w:eastAsiaTheme="minorHAnsi" w:cstheme="minorBidi"/>
          <w:sz w:val="22"/>
          <w:szCs w:val="24"/>
          <w:lang w:val="es-ES"/>
        </w:rPr>
        <w:t>El equipo CORE tiene totalmente a favor el nuevo concepto de su diseño, que hace más económica la instalación. El montaje puede hacerse mediante grúas con capacidad portante inferior a 90 toneladas. Con ello se tiene más disponibilidad en la zona respectiva, se disfruta más flexibilidad y se reducen los costes de montaje del cliente.</w:t>
      </w:r>
    </w:p>
    <w:p w14:paraId="045092F6" w14:textId="77777777" w:rsidR="00FA1C42" w:rsidRPr="00FA1C42" w:rsidRDefault="00FA1C42" w:rsidP="00FA1C42">
      <w:pPr>
        <w:jc w:val="both"/>
        <w:rPr>
          <w:rFonts w:eastAsiaTheme="minorHAnsi" w:cstheme="minorBidi"/>
          <w:sz w:val="22"/>
          <w:szCs w:val="24"/>
        </w:rPr>
      </w:pPr>
      <w:r>
        <w:rPr>
          <w:rFonts w:eastAsiaTheme="minorHAnsi" w:cstheme="minorBidi"/>
          <w:sz w:val="22"/>
          <w:szCs w:val="24"/>
          <w:lang w:val="es-ES"/>
        </w:rPr>
        <w:t xml:space="preserve">Otra ventaja: Gracias a su diseño optimizado, CORE necesita menor cimentación, de lo cual resultan para el cliente menos gasto y trabajo en material y obras. </w:t>
      </w:r>
    </w:p>
    <w:p w14:paraId="6B07C125" w14:textId="056719F0" w:rsidR="007F2EBD" w:rsidRPr="00FA1C42" w:rsidRDefault="00FA1C42" w:rsidP="00FA1C42">
      <w:pPr>
        <w:pStyle w:val="Standardabsatz"/>
      </w:pPr>
      <w:r>
        <w:rPr>
          <w:lang w:val="es-ES"/>
        </w:rPr>
        <w:lastRenderedPageBreak/>
        <w:t>La estructura modular del equipo permite comenzar a operarlo como modelo básico y, si así se precisa, ampliarlo paulatinamente. Las interfaces que vienen preequipadas facilitan los reequipamientos posteriores, haciendo posible adaptarse al cambio en las exigencias del mercado sin voluminosas obras de reforma para, por ejemplo, diversos sistemas de adición. Las bandejas de rejilla premontadas destinadas al cableado reducen el esfuerzo de montaje e incrementan la seguridad operativa. Por ello, CORE resulta particularmente apropiado para obras itinerantes y proyectos con tiempos de realización cortos.</w:t>
      </w:r>
    </w:p>
    <w:p w14:paraId="23899743" w14:textId="6C90D753" w:rsidR="007F2EBD" w:rsidRPr="00B302DF" w:rsidRDefault="00FA1C42" w:rsidP="007F2EBD">
      <w:pPr>
        <w:pStyle w:val="Absatzberschrift"/>
      </w:pPr>
      <w:r>
        <w:rPr>
          <w:bCs/>
          <w:lang w:val="es-ES"/>
        </w:rPr>
        <w:t>Mantenimiento sencillo, ergonomía, seguridad</w:t>
      </w:r>
    </w:p>
    <w:p w14:paraId="7D7C6979" w14:textId="3803D09E" w:rsidR="00753D8D" w:rsidRDefault="00FA1C42" w:rsidP="00753D8D">
      <w:pPr>
        <w:pStyle w:val="Standardabsatz"/>
        <w:rPr>
          <w:rFonts w:eastAsia="Times New Roman" w:cs="Segoe UI"/>
        </w:rPr>
      </w:pPr>
      <w:r>
        <w:rPr>
          <w:rFonts w:eastAsia="Times New Roman" w:cs="Segoe UI"/>
          <w:lang w:val="es-ES"/>
        </w:rPr>
        <w:t>El concepto de protección de equipamientos y personas, diseñado para un fácil mantenimiento, se combina con amplias medidas de seguridad, de modo que los procesos de atención y operación se simplifican y todo ello contribuye a la fiabilidad de funcionamiento. Todos los componentes ofrecen buen acceso, tienen dimensiones grandes y están dispuestos ergonómicamente. Puntos predefinidos para el anclaje de equipos de protección individual (EPI), el sistema de bloqueo de llaves Benninghoven, protecciones contra contacto en la mezcladora y los cilindros neumáticos, protecciones de respaldo contra caídas y la iluminación óptima de áreas de trabajo y mantenimiento son buenos ejemplos del incremento de la seguridad laboral y mejoran el grado de aceptación entre la plantilla al cargo de la planta.</w:t>
      </w:r>
    </w:p>
    <w:p w14:paraId="76DA026E" w14:textId="77777777" w:rsidR="00FA1C42" w:rsidRPr="00FA1C42" w:rsidRDefault="00FA1C42" w:rsidP="00FA1C42">
      <w:pPr>
        <w:pStyle w:val="Absatzberschrift"/>
        <w:rPr>
          <w:bCs/>
        </w:rPr>
      </w:pPr>
      <w:r>
        <w:rPr>
          <w:bCs/>
          <w:lang w:val="es-ES"/>
        </w:rPr>
        <w:t>Optimizado para el transporte internacional</w:t>
      </w:r>
    </w:p>
    <w:p w14:paraId="249C2049" w14:textId="4FB1EC6C" w:rsidR="00FA1C42" w:rsidRPr="00FA1C42" w:rsidRDefault="00FA1C42" w:rsidP="00FA1C42">
      <w:pPr>
        <w:pStyle w:val="Standardabsatz"/>
        <w:rPr>
          <w:rFonts w:eastAsia="Times New Roman" w:cs="Segoe UI"/>
        </w:rPr>
      </w:pPr>
      <w:r>
        <w:rPr>
          <w:rFonts w:eastAsia="Times New Roman" w:cs="Segoe UI"/>
          <w:lang w:val="es-ES"/>
        </w:rPr>
        <w:t>La limitación de la anchura de transporte y los tres metros como altura de transporte máxima hacen que, en muchos casos, se pueda evitar totalmente o en parte operaciones especiales de transporte, vehículos de acompañamiento y permisos adicionales.</w:t>
      </w:r>
    </w:p>
    <w:p w14:paraId="148F60C5" w14:textId="77777777" w:rsidR="00FA1C42" w:rsidRPr="00FA1C42" w:rsidRDefault="00FA1C42" w:rsidP="00FA1C42">
      <w:pPr>
        <w:pStyle w:val="Standardabsatz"/>
        <w:rPr>
          <w:rFonts w:eastAsia="Times New Roman" w:cs="Segoe UI"/>
        </w:rPr>
      </w:pPr>
      <w:r>
        <w:rPr>
          <w:rFonts w:eastAsia="Times New Roman" w:cs="Segoe UI"/>
          <w:lang w:val="es-ES"/>
        </w:rPr>
        <w:t>Al mismo tiempo, la planificación logística detallada de los componentes reduce el total de bultos, de manera que hacen falta menos camiones para el envío a cualquier parte del mundo. Así se simplifica el desarrollo del proceso y se reducen sensiblemente los gastos de transporte.</w:t>
      </w:r>
    </w:p>
    <w:p w14:paraId="5B802DA5" w14:textId="77777777" w:rsidR="00FA1C42" w:rsidRPr="00FA1C42" w:rsidRDefault="00FA1C42" w:rsidP="00FA1C42">
      <w:pPr>
        <w:pStyle w:val="Absatzberschrift"/>
        <w:rPr>
          <w:bCs/>
        </w:rPr>
      </w:pPr>
      <w:r>
        <w:rPr>
          <w:bCs/>
          <w:lang w:val="es-ES"/>
        </w:rPr>
        <w:t>Una inversión altamente segura</w:t>
      </w:r>
    </w:p>
    <w:p w14:paraId="76E0F39A" w14:textId="7B1A5A7A" w:rsidR="00135561" w:rsidRDefault="00FA1C42" w:rsidP="00135561">
      <w:pPr>
        <w:pStyle w:val="Standardabsatz"/>
        <w:rPr>
          <w:b/>
        </w:rPr>
      </w:pPr>
      <w:r>
        <w:rPr>
          <w:lang w:val="es-ES"/>
        </w:rPr>
        <w:t>Con CORE, Benninghoven presenta una nueva generación de equipos de mezcla de asfalto, pensada para las demandas de los próximos decenios. El concepto modular de la instalación con interfaces preequipadas, la flexibilidad para elegir combustible, el índice de reciclaje de hasta el 40 % y los sistemas de control inteligentes para una elevada seguridad en la producción crean condiciones que posibilitan respuestas flexibles frente a cambios en el mercado y requisitos regulatorios. Al mismo tiempo, los operadores del equipo se benefician de la experiencia de asociados fiables como son Benninghoven y Wirtgen Group, que ofrecen apoyo y servicio técnico en todo el mundo.</w:t>
      </w:r>
      <w:r>
        <w:rPr>
          <w:lang w:val="es-ES"/>
        </w:rPr>
        <w:br w:type="page"/>
      </w:r>
    </w:p>
    <w:p w14:paraId="31412CCB" w14:textId="1CDD7512" w:rsidR="00E15EBE" w:rsidRPr="00E6510E" w:rsidRDefault="00E15EBE" w:rsidP="00E15EBE">
      <w:pPr>
        <w:pStyle w:val="Fotos"/>
      </w:pPr>
      <w:r>
        <w:rPr>
          <w:bCs/>
          <w:lang w:val="es-ES"/>
        </w:rPr>
        <w:lastRenderedPageBreak/>
        <w:t>Fotos:</w:t>
      </w:r>
    </w:p>
    <w:p w14:paraId="20879CE4" w14:textId="3BAC65D4" w:rsidR="002611FE" w:rsidRPr="00E6510E" w:rsidRDefault="00B302DF" w:rsidP="002611FE">
      <w:pPr>
        <w:pStyle w:val="BUbold"/>
      </w:pPr>
      <w:r>
        <w:rPr>
          <w:b w:val="0"/>
          <w:noProof/>
          <w:lang w:val="es-ES"/>
        </w:rPr>
        <w:drawing>
          <wp:inline distT="0" distB="0" distL="0" distR="0" wp14:anchorId="28CF7F13" wp14:editId="19887DC0">
            <wp:extent cx="2520000" cy="14175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500"/>
                    </a:xfrm>
                    <a:prstGeom prst="rect">
                      <a:avLst/>
                    </a:prstGeom>
                    <a:noFill/>
                    <a:ln>
                      <a:noFill/>
                    </a:ln>
                  </pic:spPr>
                </pic:pic>
              </a:graphicData>
            </a:graphic>
          </wp:inline>
        </w:drawing>
      </w:r>
      <w:r>
        <w:rPr>
          <w:b w:val="0"/>
          <w:lang w:val="es-ES"/>
        </w:rPr>
        <w:br/>
      </w:r>
      <w:r>
        <w:rPr>
          <w:bCs/>
          <w:lang w:val="es-ES"/>
        </w:rPr>
        <w:t>B_pic_CORE_KI_BG_01_16-9_web_00001</w:t>
      </w:r>
    </w:p>
    <w:p w14:paraId="47324A88" w14:textId="7C0193D9" w:rsidR="002611FE" w:rsidRPr="00B302DF" w:rsidRDefault="00D27944" w:rsidP="002611FE">
      <w:pPr>
        <w:pStyle w:val="BUnormal"/>
      </w:pPr>
      <w:r>
        <w:rPr>
          <w:lang w:val="es-ES"/>
        </w:rPr>
        <w:t>CORE es el equipo transportable de mezcla de asfalto de Benninghoven que se aleja de enfoques antiguos y es fruto de un desarrollo coherente con lo que requieren los gestores actuales de plantas.</w:t>
      </w:r>
    </w:p>
    <w:p w14:paraId="29E92010" w14:textId="74ABB4E0" w:rsidR="00BD25D1" w:rsidRPr="00E6510E" w:rsidRDefault="00B302DF" w:rsidP="00BD25D1">
      <w:pPr>
        <w:pStyle w:val="BUbold"/>
      </w:pPr>
      <w:r>
        <w:rPr>
          <w:b w:val="0"/>
          <w:noProof/>
          <w:lang w:val="es-ES"/>
        </w:rPr>
        <w:drawing>
          <wp:inline distT="0" distB="0" distL="0" distR="0" wp14:anchorId="7E6AC02C" wp14:editId="605B45C1">
            <wp:extent cx="2520000" cy="25200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2520000"/>
                    </a:xfrm>
                    <a:prstGeom prst="rect">
                      <a:avLst/>
                    </a:prstGeom>
                    <a:noFill/>
                    <a:ln>
                      <a:noFill/>
                    </a:ln>
                  </pic:spPr>
                </pic:pic>
              </a:graphicData>
            </a:graphic>
          </wp:inline>
        </w:drawing>
      </w:r>
      <w:r>
        <w:rPr>
          <w:b w:val="0"/>
          <w:lang w:val="es-ES"/>
        </w:rPr>
        <w:br/>
      </w:r>
      <w:r>
        <w:rPr>
          <w:bCs/>
          <w:lang w:val="es-ES"/>
        </w:rPr>
        <w:t>B_pic_CORE_KI_BG_01_00004</w:t>
      </w:r>
    </w:p>
    <w:p w14:paraId="4DBFCD7A" w14:textId="5C554EF3" w:rsidR="00375FA8" w:rsidRDefault="00375FA8" w:rsidP="00375FA8">
      <w:pPr>
        <w:pStyle w:val="BUnormal"/>
      </w:pPr>
      <w:r>
        <w:rPr>
          <w:lang w:val="es-ES"/>
        </w:rPr>
        <w:t xml:space="preserve">El concepto CORE, novedoso y bien meditado, considera como una unidad desarrollo, tecnología, logística, montaje y servicio al cliente, todo ello en forma de un equipamiento Benninghoven rentable, disponible rápidamente y con futuro asegurado. </w:t>
      </w:r>
    </w:p>
    <w:p w14:paraId="6FACDE24" w14:textId="08C62806" w:rsidR="0093786A" w:rsidRDefault="0093786A" w:rsidP="0093786A">
      <w:pPr>
        <w:spacing w:after="220"/>
        <w:rPr>
          <w:b/>
          <w:bCs/>
          <w:sz w:val="22"/>
          <w:szCs w:val="22"/>
        </w:rPr>
      </w:pPr>
      <w:bookmarkStart w:id="0" w:name="_Hlk220657072"/>
      <w:r>
        <w:rPr>
          <w:b/>
          <w:bCs/>
          <w:sz w:val="22"/>
          <w:szCs w:val="22"/>
          <w:lang w:val="es-ES"/>
        </w:rPr>
        <w:t>Vídeo:</w:t>
      </w:r>
    </w:p>
    <w:p w14:paraId="7140480E" w14:textId="1B5AE314" w:rsidR="008D739F" w:rsidRDefault="00D94D1A" w:rsidP="0093786A">
      <w:pPr>
        <w:spacing w:after="220"/>
        <w:rPr>
          <w:sz w:val="22"/>
          <w:szCs w:val="22"/>
        </w:rPr>
      </w:pPr>
      <w:r>
        <w:rPr>
          <w:lang w:val="es-ES"/>
        </w:rPr>
        <w:t xml:space="preserve"> </w:t>
      </w:r>
      <w:r>
        <w:rPr>
          <w:noProof/>
          <w:lang w:val="es-ES"/>
        </w:rPr>
        <w:drawing>
          <wp:inline distT="0" distB="0" distL="0" distR="0" wp14:anchorId="30DDB249" wp14:editId="0A7A92B5">
            <wp:extent cx="2520000" cy="1417434"/>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bookmarkEnd w:id="0"/>
    <w:p w14:paraId="2D859281" w14:textId="59F27E74" w:rsidR="0093786A" w:rsidRPr="00D076BA" w:rsidRDefault="00D076BA" w:rsidP="0093786A">
      <w:pPr>
        <w:spacing w:after="160" w:line="276" w:lineRule="auto"/>
        <w:rPr>
          <w:rStyle w:val="Hyperlink"/>
        </w:rPr>
      </w:pPr>
      <w:r>
        <w:rPr>
          <w:sz w:val="20"/>
          <w:szCs w:val="20"/>
          <w:lang w:val="es-ES"/>
        </w:rPr>
        <w:fldChar w:fldCharType="begin"/>
      </w:r>
      <w:r>
        <w:rPr>
          <w:sz w:val="20"/>
          <w:szCs w:val="20"/>
          <w:lang w:val="es-ES"/>
        </w:rPr>
        <w:instrText xml:space="preserve"> HYPERLINK "https://youtu.be/SU4BIOdoNfM" </w:instrText>
      </w:r>
      <w:r>
        <w:rPr>
          <w:sz w:val="20"/>
          <w:szCs w:val="20"/>
          <w:lang w:val="es-ES"/>
        </w:rPr>
        <w:fldChar w:fldCharType="separate"/>
      </w:r>
      <w:r>
        <w:rPr>
          <w:rStyle w:val="Hyperlink"/>
          <w:sz w:val="20"/>
          <w:szCs w:val="20"/>
          <w:lang w:val="es-ES"/>
        </w:rPr>
        <w:t>Para ver el vídeo, haga clic aquí.</w:t>
      </w:r>
    </w:p>
    <w:bookmarkStart w:id="1" w:name="_Hlk177486135"/>
    <w:p w14:paraId="01C40C31" w14:textId="37B81085" w:rsidR="0093786A" w:rsidRDefault="00D076BA" w:rsidP="0093786A">
      <w:pPr>
        <w:snapToGrid w:val="0"/>
        <w:rPr>
          <w:rFonts w:eastAsia="Times New Roman"/>
          <w:b/>
          <w:iCs/>
          <w:color w:val="0070C0"/>
          <w:sz w:val="20"/>
          <w:szCs w:val="20"/>
        </w:rPr>
      </w:pPr>
      <w:r>
        <w:rPr>
          <w:sz w:val="20"/>
          <w:szCs w:val="20"/>
          <w:lang w:val="es-ES"/>
        </w:rPr>
        <w:fldChar w:fldCharType="end"/>
      </w:r>
      <w:hyperlink r:id="rId11" w:history="1">
        <w:r>
          <w:rPr>
            <w:rStyle w:val="Hyperlink"/>
            <w:rFonts w:eastAsia="Times New Roman"/>
            <w:b/>
            <w:bCs/>
            <w:color w:val="0070C0"/>
            <w:sz w:val="20"/>
            <w:szCs w:val="20"/>
            <w:lang w:val="es-ES"/>
          </w:rPr>
          <w:t>Puede encontrar más vídeos en el canal de YouTube de Wirtgen Group</w:t>
        </w:r>
      </w:hyperlink>
      <w:r>
        <w:rPr>
          <w:b/>
          <w:bCs/>
          <w:color w:val="0070C0"/>
          <w:sz w:val="20"/>
          <w:szCs w:val="20"/>
          <w:u w:val="single"/>
          <w:lang w:val="es-ES"/>
        </w:rPr>
        <w:t>.</w:t>
      </w:r>
      <w:bookmarkEnd w:id="1"/>
    </w:p>
    <w:p w14:paraId="7667B0CD" w14:textId="77777777" w:rsidR="0093786A" w:rsidRPr="00B302DF" w:rsidRDefault="0093786A" w:rsidP="0093786A">
      <w:pPr>
        <w:pStyle w:val="Note"/>
        <w:spacing w:before="0" w:after="0"/>
        <w:rPr>
          <w:i w:val="0"/>
          <w:iCs/>
        </w:rPr>
      </w:pPr>
    </w:p>
    <w:p w14:paraId="04824B2F" w14:textId="1D2C88F5" w:rsidR="00F74540" w:rsidRPr="006C0C87" w:rsidRDefault="00E15EBE" w:rsidP="006C0C87">
      <w:pPr>
        <w:pStyle w:val="Note"/>
      </w:pPr>
      <w:r>
        <w:rPr>
          <w:iCs/>
          <w:lang w:val="es-ES"/>
        </w:rPr>
        <w:lastRenderedPageBreak/>
        <w:t>Nota: Estas fotos sirven excluvamente para la vista previa. Para publicaciones impresas, deben usarse las fotos con resolución de 300</w:t>
      </w:r>
      <w:r>
        <w:rPr>
          <w:i w:val="0"/>
          <w:lang w:val="es-ES"/>
        </w:rPr>
        <w:t> </w:t>
      </w:r>
      <w:r>
        <w:rPr>
          <w:iCs/>
          <w:lang w:val="es-ES"/>
        </w:rPr>
        <w:t>dpi que están disponibles para su descarga en las páginas web de Wirtgen Group.</w:t>
      </w:r>
    </w:p>
    <w:p w14:paraId="55931FB8" w14:textId="77777777" w:rsidR="00E15EBE" w:rsidRDefault="00E15EBE" w:rsidP="00E15EBE">
      <w:pPr>
        <w:pStyle w:val="Absatzberschrift"/>
        <w:rPr>
          <w:iCs/>
        </w:rPr>
      </w:pPr>
      <w:r>
        <w:rPr>
          <w:bCs/>
          <w:lang w:val="es-ES"/>
        </w:rPr>
        <w:t>Para mayor información consultar con:</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es-ES"/>
        </w:rPr>
        <w:t>WIRTGEN GROUP</w:t>
      </w:r>
    </w:p>
    <w:p w14:paraId="6C2CE818" w14:textId="77777777" w:rsidR="00E15EBE" w:rsidRDefault="00E15EBE" w:rsidP="00E15EBE">
      <w:pPr>
        <w:pStyle w:val="Fuzeile1"/>
      </w:pPr>
      <w:r>
        <w:rPr>
          <w:bCs w:val="0"/>
          <w:iCs w:val="0"/>
          <w:lang w:val="es-ES"/>
        </w:rPr>
        <w:t>Public Relations</w:t>
      </w:r>
    </w:p>
    <w:p w14:paraId="11D0C008" w14:textId="77777777" w:rsidR="00E15EBE" w:rsidRDefault="00E15EBE" w:rsidP="00E15EBE">
      <w:pPr>
        <w:pStyle w:val="Fuzeile1"/>
      </w:pPr>
      <w:r>
        <w:rPr>
          <w:bCs w:val="0"/>
          <w:iCs w:val="0"/>
          <w:lang w:val="es-ES"/>
        </w:rPr>
        <w:t>Reinhard-Wirtgen-Straße 2</w:t>
      </w:r>
    </w:p>
    <w:p w14:paraId="1063A82F" w14:textId="77777777" w:rsidR="00E15EBE" w:rsidRDefault="00E15EBE" w:rsidP="00E15EBE">
      <w:pPr>
        <w:pStyle w:val="Fuzeile1"/>
      </w:pPr>
      <w:r>
        <w:rPr>
          <w:bCs w:val="0"/>
          <w:iCs w:val="0"/>
          <w:lang w:val="es-ES"/>
        </w:rPr>
        <w:t>53578 Windhagen</w:t>
      </w:r>
    </w:p>
    <w:p w14:paraId="5A37CC2B" w14:textId="77777777" w:rsidR="00E15EBE" w:rsidRDefault="00E15EBE" w:rsidP="00E15EBE">
      <w:pPr>
        <w:pStyle w:val="Fuzeile1"/>
      </w:pPr>
      <w:r>
        <w:rPr>
          <w:bCs w:val="0"/>
          <w:iCs w:val="0"/>
          <w:lang w:val="es-ES"/>
        </w:rPr>
        <w:t>Alemania</w:t>
      </w:r>
    </w:p>
    <w:p w14:paraId="29A07732" w14:textId="77777777" w:rsidR="00E15EBE" w:rsidRDefault="00E15EBE" w:rsidP="00E15EBE">
      <w:pPr>
        <w:pStyle w:val="Fuzeile1"/>
      </w:pPr>
    </w:p>
    <w:p w14:paraId="0C099062" w14:textId="1C628883" w:rsidR="00E15EBE" w:rsidRPr="00AB6B9C" w:rsidRDefault="00E15EBE" w:rsidP="008C313C">
      <w:pPr>
        <w:pStyle w:val="Fuzeile1"/>
        <w:tabs>
          <w:tab w:val="left" w:pos="2268"/>
        </w:tabs>
        <w:rPr>
          <w:rFonts w:ascii="Times New Roman" w:hAnsi="Times New Roman" w:cs="Times New Roman"/>
        </w:rPr>
      </w:pPr>
      <w:r>
        <w:rPr>
          <w:bCs w:val="0"/>
          <w:iCs w:val="0"/>
          <w:lang w:val="es-ES"/>
        </w:rPr>
        <w:t xml:space="preserve">Teléfono: </w:t>
      </w:r>
      <w:r>
        <w:rPr>
          <w:bCs w:val="0"/>
          <w:iCs w:val="0"/>
          <w:lang w:val="es-ES"/>
        </w:rPr>
        <w:tab/>
        <w:t>+49 (0) 2645 131 – 1966</w:t>
      </w:r>
    </w:p>
    <w:p w14:paraId="65F4C38F" w14:textId="0B1BD3FF" w:rsidR="00E15EBE" w:rsidRPr="00B302DF" w:rsidRDefault="00E15EBE" w:rsidP="008C313C">
      <w:pPr>
        <w:pStyle w:val="Fuzeile1"/>
        <w:tabs>
          <w:tab w:val="left" w:pos="2268"/>
        </w:tabs>
      </w:pPr>
      <w:r>
        <w:rPr>
          <w:bCs w:val="0"/>
          <w:iCs w:val="0"/>
          <w:lang w:val="es-ES"/>
        </w:rPr>
        <w:t xml:space="preserve">Fax: </w:t>
      </w:r>
      <w:r>
        <w:rPr>
          <w:bCs w:val="0"/>
          <w:iCs w:val="0"/>
          <w:lang w:val="es-ES"/>
        </w:rPr>
        <w:tab/>
        <w:t>+49 (0) 2645 131 – 499</w:t>
      </w:r>
    </w:p>
    <w:p w14:paraId="79FF3B7C" w14:textId="173D2DE9" w:rsidR="00E15EBE" w:rsidRPr="00B302DF" w:rsidRDefault="00E15EBE" w:rsidP="008C313C">
      <w:pPr>
        <w:pStyle w:val="Fuzeile1"/>
        <w:tabs>
          <w:tab w:val="left" w:pos="2268"/>
        </w:tabs>
      </w:pPr>
      <w:r>
        <w:rPr>
          <w:bCs w:val="0"/>
          <w:iCs w:val="0"/>
          <w:lang w:val="es-ES"/>
        </w:rPr>
        <w:t>Correo electrónico:</w:t>
      </w:r>
      <w:r>
        <w:rPr>
          <w:bCs w:val="0"/>
          <w:iCs w:val="0"/>
          <w:lang w:val="es-ES"/>
        </w:rPr>
        <w:tab/>
      </w:r>
      <w:hyperlink r:id="rId12" w:history="1">
        <w:r>
          <w:rPr>
            <w:rStyle w:val="Hyperlink"/>
            <w:bCs w:val="0"/>
            <w:iCs w:val="0"/>
            <w:lang w:val="es-ES"/>
          </w:rPr>
          <w:t>PR@wirtgen-group.com</w:t>
        </w:r>
      </w:hyperlink>
      <w:r>
        <w:rPr>
          <w:bCs w:val="0"/>
          <w:iCs w:val="0"/>
          <w:lang w:val="es-ES"/>
        </w:rPr>
        <w:t xml:space="preserve"> </w:t>
      </w:r>
    </w:p>
    <w:p w14:paraId="4F99EB86" w14:textId="77777777" w:rsidR="00E15EBE" w:rsidRPr="00AB6B9C" w:rsidRDefault="00E15EBE" w:rsidP="00E15EBE">
      <w:pPr>
        <w:pStyle w:val="Fuzeile1"/>
        <w:rPr>
          <w:vanish/>
        </w:rPr>
      </w:pPr>
    </w:p>
    <w:p w14:paraId="3D604A55" w14:textId="5BB8C1A2" w:rsidR="00F048D4" w:rsidRDefault="00916973" w:rsidP="00F74540">
      <w:pPr>
        <w:pStyle w:val="Fuzeile1"/>
      </w:pPr>
      <w:hyperlink r:id="rId13" w:history="1">
        <w:r w:rsidR="00D076BA">
          <w:rPr>
            <w:rStyle w:val="Hyperlink"/>
            <w:bCs w:val="0"/>
            <w:iCs w:val="0"/>
            <w:lang w:val="es-ES"/>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B08E5" w14:textId="77777777" w:rsidR="00FA3FC2" w:rsidRDefault="00FA3FC2" w:rsidP="00E55534">
      <w:r>
        <w:separator/>
      </w:r>
    </w:p>
  </w:endnote>
  <w:endnote w:type="continuationSeparator" w:id="0">
    <w:p w14:paraId="7A4FED96" w14:textId="77777777" w:rsidR="00FA3FC2" w:rsidRDefault="00FA3FC2"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es-ES"/>
            </w:rPr>
            <w:t>WIRTGEN</w:t>
          </w:r>
          <w:r>
            <w:rPr>
              <w:rStyle w:val="Hervorhebung"/>
              <w:bCs/>
              <w:iCs w:val="0"/>
              <w:szCs w:val="20"/>
              <w:lang w:val="es-ES"/>
            </w:rPr>
            <w:t xml:space="preserve"> GmbH</w:t>
          </w:r>
          <w:r>
            <w:rPr>
              <w:szCs w:val="20"/>
              <w:lang w:val="es-ES"/>
            </w:rPr>
            <w:t xml:space="preserve"> · Reinhard-Wirtgen-Str. 2 · D-53578 Windhagen (Alemania)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351" w14:textId="77777777" w:rsidR="00FA3FC2" w:rsidRDefault="00FA3FC2" w:rsidP="00E55534">
      <w:r>
        <w:separator/>
      </w:r>
    </w:p>
  </w:footnote>
  <w:footnote w:type="continuationSeparator" w:id="0">
    <w:p w14:paraId="7E8D9B8B" w14:textId="77777777" w:rsidR="00FA3FC2" w:rsidRDefault="00FA3FC2"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0B00BD00" w:rsidR="00A0216C" w:rsidRPr="00A0216C" w:rsidRDefault="00020962">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0B00BD00" w:rsidR="00A0216C" w:rsidRPr="00A0216C" w:rsidRDefault="00020962">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Nota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8"/>
  </w:num>
  <w:num w:numId="2">
    <w:abstractNumId w:val="8"/>
  </w:num>
  <w:num w:numId="3">
    <w:abstractNumId w:val="8"/>
  </w:num>
  <w:num w:numId="4">
    <w:abstractNumId w:val="8"/>
  </w:num>
  <w:num w:numId="5">
    <w:abstractNumId w:val="8"/>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2032D"/>
    <w:rsid w:val="00020962"/>
    <w:rsid w:val="00042106"/>
    <w:rsid w:val="0005285B"/>
    <w:rsid w:val="00055529"/>
    <w:rsid w:val="00057920"/>
    <w:rsid w:val="00062C3A"/>
    <w:rsid w:val="00065499"/>
    <w:rsid w:val="00066D09"/>
    <w:rsid w:val="0009665C"/>
    <w:rsid w:val="000A0479"/>
    <w:rsid w:val="000A36D9"/>
    <w:rsid w:val="000A4C7D"/>
    <w:rsid w:val="000B582B"/>
    <w:rsid w:val="000C41A1"/>
    <w:rsid w:val="000D15C3"/>
    <w:rsid w:val="000E24F8"/>
    <w:rsid w:val="000E5738"/>
    <w:rsid w:val="000F3883"/>
    <w:rsid w:val="00103205"/>
    <w:rsid w:val="00112A48"/>
    <w:rsid w:val="0011795C"/>
    <w:rsid w:val="0012026F"/>
    <w:rsid w:val="00130601"/>
    <w:rsid w:val="00132055"/>
    <w:rsid w:val="00135561"/>
    <w:rsid w:val="00146C3D"/>
    <w:rsid w:val="00153B47"/>
    <w:rsid w:val="001613A6"/>
    <w:rsid w:val="001614F0"/>
    <w:rsid w:val="001616F4"/>
    <w:rsid w:val="001632B1"/>
    <w:rsid w:val="0018021A"/>
    <w:rsid w:val="00194FB1"/>
    <w:rsid w:val="001A343E"/>
    <w:rsid w:val="001B16BB"/>
    <w:rsid w:val="001B34EE"/>
    <w:rsid w:val="001C1A3E"/>
    <w:rsid w:val="001E3282"/>
    <w:rsid w:val="00200355"/>
    <w:rsid w:val="0021351D"/>
    <w:rsid w:val="00220D60"/>
    <w:rsid w:val="00240BE6"/>
    <w:rsid w:val="0024451B"/>
    <w:rsid w:val="00250BAB"/>
    <w:rsid w:val="00253A2E"/>
    <w:rsid w:val="002603EC"/>
    <w:rsid w:val="002611FE"/>
    <w:rsid w:val="002763B5"/>
    <w:rsid w:val="00280398"/>
    <w:rsid w:val="00282AFC"/>
    <w:rsid w:val="00286C15"/>
    <w:rsid w:val="0029634D"/>
    <w:rsid w:val="002A6403"/>
    <w:rsid w:val="002C7542"/>
    <w:rsid w:val="002D065C"/>
    <w:rsid w:val="002D0780"/>
    <w:rsid w:val="002D2EE5"/>
    <w:rsid w:val="002D63E6"/>
    <w:rsid w:val="002E4EB0"/>
    <w:rsid w:val="002E765F"/>
    <w:rsid w:val="002E7E4E"/>
    <w:rsid w:val="002F108B"/>
    <w:rsid w:val="002F5818"/>
    <w:rsid w:val="002F70FD"/>
    <w:rsid w:val="0030316D"/>
    <w:rsid w:val="0032774C"/>
    <w:rsid w:val="00332D28"/>
    <w:rsid w:val="0034191A"/>
    <w:rsid w:val="00343CC7"/>
    <w:rsid w:val="00353EC2"/>
    <w:rsid w:val="00364234"/>
    <w:rsid w:val="0036561D"/>
    <w:rsid w:val="003665BE"/>
    <w:rsid w:val="00373D4D"/>
    <w:rsid w:val="00375FA8"/>
    <w:rsid w:val="00384A08"/>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A6B51"/>
    <w:rsid w:val="004B5437"/>
    <w:rsid w:val="004C1967"/>
    <w:rsid w:val="004C7C20"/>
    <w:rsid w:val="004D23D0"/>
    <w:rsid w:val="004D2BE0"/>
    <w:rsid w:val="004E6EF5"/>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5DCA"/>
    <w:rsid w:val="005C6B30"/>
    <w:rsid w:val="005C71EC"/>
    <w:rsid w:val="005E764C"/>
    <w:rsid w:val="005E7F7D"/>
    <w:rsid w:val="00601E01"/>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22A17"/>
    <w:rsid w:val="00723F4F"/>
    <w:rsid w:val="007477F1"/>
    <w:rsid w:val="00753D8D"/>
    <w:rsid w:val="00754B80"/>
    <w:rsid w:val="00755AE0"/>
    <w:rsid w:val="0075761B"/>
    <w:rsid w:val="00757B83"/>
    <w:rsid w:val="007653A9"/>
    <w:rsid w:val="00765D74"/>
    <w:rsid w:val="00774358"/>
    <w:rsid w:val="00791A69"/>
    <w:rsid w:val="0079462A"/>
    <w:rsid w:val="00794830"/>
    <w:rsid w:val="00797CAA"/>
    <w:rsid w:val="007A2B6F"/>
    <w:rsid w:val="007A6BD2"/>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3FBD"/>
    <w:rsid w:val="0084571C"/>
    <w:rsid w:val="00863129"/>
    <w:rsid w:val="00866830"/>
    <w:rsid w:val="00870ACE"/>
    <w:rsid w:val="00873125"/>
    <w:rsid w:val="008755E5"/>
    <w:rsid w:val="00881E44"/>
    <w:rsid w:val="00892F6F"/>
    <w:rsid w:val="00896F7E"/>
    <w:rsid w:val="008C2A29"/>
    <w:rsid w:val="008C2DB2"/>
    <w:rsid w:val="008C313C"/>
    <w:rsid w:val="008D2B87"/>
    <w:rsid w:val="008D739F"/>
    <w:rsid w:val="008D770E"/>
    <w:rsid w:val="008F6421"/>
    <w:rsid w:val="0090337E"/>
    <w:rsid w:val="009049D8"/>
    <w:rsid w:val="00910609"/>
    <w:rsid w:val="00911A78"/>
    <w:rsid w:val="00915841"/>
    <w:rsid w:val="00916973"/>
    <w:rsid w:val="009328FA"/>
    <w:rsid w:val="00936916"/>
    <w:rsid w:val="00936A78"/>
    <w:rsid w:val="009375E1"/>
    <w:rsid w:val="0093786A"/>
    <w:rsid w:val="009405D6"/>
    <w:rsid w:val="00952853"/>
    <w:rsid w:val="00954D68"/>
    <w:rsid w:val="009646E4"/>
    <w:rsid w:val="00977EC3"/>
    <w:rsid w:val="009860AF"/>
    <w:rsid w:val="0098631D"/>
    <w:rsid w:val="009B17A9"/>
    <w:rsid w:val="009B211F"/>
    <w:rsid w:val="009B7C05"/>
    <w:rsid w:val="009C2378"/>
    <w:rsid w:val="009C5A77"/>
    <w:rsid w:val="009C5D99"/>
    <w:rsid w:val="009C7E5B"/>
    <w:rsid w:val="009D016F"/>
    <w:rsid w:val="009E251D"/>
    <w:rsid w:val="009E4817"/>
    <w:rsid w:val="009F10A8"/>
    <w:rsid w:val="009F715C"/>
    <w:rsid w:val="00A0216C"/>
    <w:rsid w:val="00A02F49"/>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C152F"/>
    <w:rsid w:val="00AD131F"/>
    <w:rsid w:val="00AD32D5"/>
    <w:rsid w:val="00AD70E4"/>
    <w:rsid w:val="00AF3B3A"/>
    <w:rsid w:val="00AF4E8E"/>
    <w:rsid w:val="00AF6569"/>
    <w:rsid w:val="00B06265"/>
    <w:rsid w:val="00B277B8"/>
    <w:rsid w:val="00B302DF"/>
    <w:rsid w:val="00B35915"/>
    <w:rsid w:val="00B5101D"/>
    <w:rsid w:val="00B5232A"/>
    <w:rsid w:val="00B60ED1"/>
    <w:rsid w:val="00B62CF5"/>
    <w:rsid w:val="00B85705"/>
    <w:rsid w:val="00B874DC"/>
    <w:rsid w:val="00B90F78"/>
    <w:rsid w:val="00BB6A28"/>
    <w:rsid w:val="00BD1058"/>
    <w:rsid w:val="00BD25D1"/>
    <w:rsid w:val="00BD5391"/>
    <w:rsid w:val="00BD764C"/>
    <w:rsid w:val="00BF56B2"/>
    <w:rsid w:val="00C055AB"/>
    <w:rsid w:val="00C06F64"/>
    <w:rsid w:val="00C11F95"/>
    <w:rsid w:val="00C136DF"/>
    <w:rsid w:val="00C17501"/>
    <w:rsid w:val="00C40627"/>
    <w:rsid w:val="00C43EAF"/>
    <w:rsid w:val="00C457C3"/>
    <w:rsid w:val="00C644CA"/>
    <w:rsid w:val="00C658FC"/>
    <w:rsid w:val="00C66510"/>
    <w:rsid w:val="00C73005"/>
    <w:rsid w:val="00C818B5"/>
    <w:rsid w:val="00C84D75"/>
    <w:rsid w:val="00C85E18"/>
    <w:rsid w:val="00C96E9F"/>
    <w:rsid w:val="00CA4A09"/>
    <w:rsid w:val="00CB3C11"/>
    <w:rsid w:val="00CB71DD"/>
    <w:rsid w:val="00CC5A63"/>
    <w:rsid w:val="00CC787C"/>
    <w:rsid w:val="00CD3D70"/>
    <w:rsid w:val="00CF36C9"/>
    <w:rsid w:val="00D00EC4"/>
    <w:rsid w:val="00D076BA"/>
    <w:rsid w:val="00D166AC"/>
    <w:rsid w:val="00D20B6F"/>
    <w:rsid w:val="00D27944"/>
    <w:rsid w:val="00D36BA2"/>
    <w:rsid w:val="00D37CF4"/>
    <w:rsid w:val="00D40E45"/>
    <w:rsid w:val="00D4487C"/>
    <w:rsid w:val="00D5480F"/>
    <w:rsid w:val="00D63D33"/>
    <w:rsid w:val="00D73352"/>
    <w:rsid w:val="00D935C3"/>
    <w:rsid w:val="00D94D1A"/>
    <w:rsid w:val="00DA0266"/>
    <w:rsid w:val="00DA477E"/>
    <w:rsid w:val="00DB4305"/>
    <w:rsid w:val="00DB4BB0"/>
    <w:rsid w:val="00DD0DB6"/>
    <w:rsid w:val="00DE13D2"/>
    <w:rsid w:val="00DE461D"/>
    <w:rsid w:val="00E04039"/>
    <w:rsid w:val="00E14608"/>
    <w:rsid w:val="00E15EBE"/>
    <w:rsid w:val="00E20825"/>
    <w:rsid w:val="00E21E67"/>
    <w:rsid w:val="00E30EBF"/>
    <w:rsid w:val="00E316C0"/>
    <w:rsid w:val="00E31E03"/>
    <w:rsid w:val="00E451CD"/>
    <w:rsid w:val="00E51170"/>
    <w:rsid w:val="00E52D70"/>
    <w:rsid w:val="00E55534"/>
    <w:rsid w:val="00E6510E"/>
    <w:rsid w:val="00E7116D"/>
    <w:rsid w:val="00E72429"/>
    <w:rsid w:val="00E914D1"/>
    <w:rsid w:val="00E960D8"/>
    <w:rsid w:val="00EB5FCA"/>
    <w:rsid w:val="00EE78EA"/>
    <w:rsid w:val="00F048D4"/>
    <w:rsid w:val="00F12E15"/>
    <w:rsid w:val="00F20920"/>
    <w:rsid w:val="00F23212"/>
    <w:rsid w:val="00F33B16"/>
    <w:rsid w:val="00F353EA"/>
    <w:rsid w:val="00F36C27"/>
    <w:rsid w:val="00F56318"/>
    <w:rsid w:val="00F56CBF"/>
    <w:rsid w:val="00F67C95"/>
    <w:rsid w:val="00F74540"/>
    <w:rsid w:val="00F75B79"/>
    <w:rsid w:val="00F81226"/>
    <w:rsid w:val="00F82525"/>
    <w:rsid w:val="00F911CB"/>
    <w:rsid w:val="00F91AC4"/>
    <w:rsid w:val="00F97FEA"/>
    <w:rsid w:val="00FA1C42"/>
    <w:rsid w:val="00FA3FC2"/>
    <w:rsid w:val="00FB60E1"/>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CB3C11"/>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981</Words>
  <Characters>6185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7152</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2026-07-29T16:35:00Z</dcterms:created>
  <dcterms:modified xsi:type="dcterms:W3CDTF">2026-07-31T08:12:00Z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