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C76A9" w14:textId="77777777" w:rsidR="00A9565F" w:rsidRPr="00323C41" w:rsidRDefault="00000000" w:rsidP="004D2AB9">
      <w:pPr>
        <w:pStyle w:val="1RoadNews"/>
        <w:rPr>
          <w:rFonts w:ascii="Verdana" w:hAnsi="Verdana"/>
          <w:b/>
          <w:bCs/>
          <w:sz w:val="40"/>
          <w:szCs w:val="40"/>
          <w:lang w:val="en-US"/>
        </w:rPr>
      </w:pPr>
      <w:bookmarkStart w:id="0" w:name="_Hlk117081588"/>
      <w:bookmarkEnd w:id="0"/>
      <w:r>
        <w:rPr>
          <w:rFonts w:ascii="Verdana" w:hAnsi="Verdana"/>
          <w:b/>
          <w:bCs/>
          <w:iCs w:val="0"/>
          <w:sz w:val="40"/>
          <w:szCs w:val="40"/>
          <w:lang w:val="en-GB"/>
        </w:rPr>
        <w:t xml:space="preserve">Kleemann | New mobile Stackers MOBIBELT for optimised logistics </w:t>
      </w:r>
    </w:p>
    <w:p w14:paraId="61D10829" w14:textId="77777777" w:rsidR="004D2AB9" w:rsidRPr="00323C41" w:rsidRDefault="004D2AB9" w:rsidP="004D2AB9">
      <w:pPr>
        <w:pStyle w:val="1RoadNews"/>
        <w:rPr>
          <w:b/>
          <w:iCs w:val="0"/>
          <w:lang w:val="en-US"/>
        </w:rPr>
      </w:pPr>
    </w:p>
    <w:p w14:paraId="2B32F3C6" w14:textId="77777777" w:rsidR="00A9565F" w:rsidRPr="00323C41" w:rsidRDefault="00000000" w:rsidP="00A9565F">
      <w:pPr>
        <w:jc w:val="both"/>
        <w:rPr>
          <w:rFonts w:eastAsiaTheme="majorEastAsia" w:cstheme="majorBidi"/>
          <w:b/>
          <w:color w:val="000000" w:themeColor="text1"/>
          <w:sz w:val="28"/>
          <w:szCs w:val="22"/>
          <w:lang w:val="en-US"/>
        </w:rPr>
      </w:pPr>
      <w:r>
        <w:rPr>
          <w:rFonts w:eastAsiaTheme="majorEastAsia" w:cstheme="majorBidi"/>
          <w:b/>
          <w:bCs/>
          <w:color w:val="000000" w:themeColor="text1"/>
          <w:sz w:val="28"/>
          <w:szCs w:val="22"/>
          <w:lang w:val="en-GB"/>
        </w:rPr>
        <w:t>More flexible arrangement of work site processes</w:t>
      </w:r>
    </w:p>
    <w:p w14:paraId="5CBEB577" w14:textId="77777777" w:rsidR="00115EF6" w:rsidRPr="00323C41" w:rsidRDefault="00115EF6" w:rsidP="00A9565F">
      <w:pPr>
        <w:jc w:val="both"/>
        <w:rPr>
          <w:rFonts w:eastAsiaTheme="majorEastAsia" w:cstheme="majorBidi"/>
          <w:bCs/>
          <w:color w:val="000000" w:themeColor="text1"/>
          <w:sz w:val="22"/>
          <w:szCs w:val="22"/>
          <w:lang w:val="en-US"/>
        </w:rPr>
      </w:pPr>
    </w:p>
    <w:p w14:paraId="1B447B76" w14:textId="77777777" w:rsidR="00DF708B" w:rsidRPr="00323C41" w:rsidRDefault="00000000" w:rsidP="00536D91">
      <w:pPr>
        <w:jc w:val="both"/>
        <w:rPr>
          <w:rFonts w:eastAsiaTheme="majorEastAsia" w:cstheme="majorBidi"/>
          <w:b/>
          <w:bCs/>
          <w:color w:val="000000" w:themeColor="text1"/>
          <w:sz w:val="22"/>
          <w:szCs w:val="22"/>
          <w:lang w:val="en-US"/>
        </w:rPr>
      </w:pPr>
      <w:r>
        <w:rPr>
          <w:rFonts w:eastAsiaTheme="majorEastAsia" w:cstheme="majorBidi"/>
          <w:b/>
          <w:bCs/>
          <w:color w:val="000000" w:themeColor="text1"/>
          <w:sz w:val="22"/>
          <w:szCs w:val="22"/>
          <w:lang w:val="en-GB"/>
        </w:rPr>
        <w:t>The mobile stackers MOBIBELT are used for efficient logistics processes on work sites. They flexibly extend the action radius of crushing and screening plants and thus make large stockpiles and improved work site logistics possible.</w:t>
      </w:r>
    </w:p>
    <w:p w14:paraId="2D41208E" w14:textId="77777777" w:rsidR="00536D91" w:rsidRPr="00323C41" w:rsidRDefault="00536D91" w:rsidP="00536D91">
      <w:pPr>
        <w:jc w:val="both"/>
        <w:rPr>
          <w:rFonts w:eastAsiaTheme="majorEastAsia" w:cstheme="majorBidi"/>
          <w:b/>
          <w:bCs/>
          <w:color w:val="000000" w:themeColor="text1"/>
          <w:sz w:val="22"/>
          <w:szCs w:val="22"/>
          <w:lang w:val="en-US"/>
        </w:rPr>
      </w:pPr>
    </w:p>
    <w:p w14:paraId="368AB463" w14:textId="77777777" w:rsidR="00115EF6" w:rsidRPr="00323C41" w:rsidRDefault="00000000" w:rsidP="0086560B">
      <w:pPr>
        <w:autoSpaceDE w:val="0"/>
        <w:autoSpaceDN w:val="0"/>
        <w:adjustRightInd w:val="0"/>
        <w:jc w:val="both"/>
        <w:rPr>
          <w:rStyle w:val="Hervorhebung"/>
          <w:b w:val="0"/>
          <w:sz w:val="22"/>
          <w:szCs w:val="22"/>
          <w:lang w:val="en-US"/>
        </w:rPr>
      </w:pPr>
      <w:r>
        <w:rPr>
          <w:rStyle w:val="Hervorhebung"/>
          <w:b w:val="0"/>
          <w:iCs w:val="0"/>
          <w:sz w:val="22"/>
          <w:szCs w:val="22"/>
          <w:lang w:val="en-GB"/>
        </w:rPr>
        <w:t xml:space="preserve">Nowadays modern crushing and screening plants regulate material streams within the plant to a large extent automatically. Nevertheless, machine operators still have a strong influence on the final product quality and the daily output. They control the input with their excavators and wheel loaders, – i.e. the loading of stone or recycling material. Users also play the main role with regard to output: They co-ordinate the final products by means of building up stockpiles, intermediate storage areas and loading. With the new stackers MOBIBELT MBT 20(i) and MBT 24(i) from Kleemann, logistics can now be organised flexibly and adapted to the respective situation. </w:t>
      </w:r>
    </w:p>
    <w:p w14:paraId="02371AC7" w14:textId="77777777" w:rsidR="00115EF6" w:rsidRPr="00323C41" w:rsidRDefault="00115EF6" w:rsidP="0086560B">
      <w:pPr>
        <w:autoSpaceDE w:val="0"/>
        <w:autoSpaceDN w:val="0"/>
        <w:adjustRightInd w:val="0"/>
        <w:jc w:val="both"/>
        <w:rPr>
          <w:rStyle w:val="Hervorhebung"/>
          <w:b w:val="0"/>
          <w:sz w:val="22"/>
          <w:szCs w:val="22"/>
          <w:lang w:val="en-US"/>
        </w:rPr>
      </w:pPr>
    </w:p>
    <w:p w14:paraId="170AEB7C" w14:textId="77777777" w:rsidR="00DA0198" w:rsidRPr="00323C41" w:rsidRDefault="00000000" w:rsidP="00DA0198">
      <w:pPr>
        <w:autoSpaceDE w:val="0"/>
        <w:autoSpaceDN w:val="0"/>
        <w:adjustRightInd w:val="0"/>
        <w:rPr>
          <w:b/>
          <w:bCs/>
          <w:sz w:val="22"/>
          <w:szCs w:val="22"/>
          <w:lang w:val="en-US"/>
        </w:rPr>
      </w:pPr>
      <w:r>
        <w:rPr>
          <w:b/>
          <w:bCs/>
          <w:sz w:val="22"/>
          <w:szCs w:val="22"/>
          <w:lang w:val="en-GB"/>
        </w:rPr>
        <w:t>Short set-up times and high feed capacities</w:t>
      </w:r>
    </w:p>
    <w:p w14:paraId="18F8A774" w14:textId="6347C55A" w:rsidR="00DA0198" w:rsidRPr="00323C41" w:rsidRDefault="00000000" w:rsidP="00DA0198">
      <w:pPr>
        <w:autoSpaceDE w:val="0"/>
        <w:autoSpaceDN w:val="0"/>
        <w:adjustRightInd w:val="0"/>
        <w:jc w:val="both"/>
        <w:rPr>
          <w:sz w:val="22"/>
          <w:szCs w:val="22"/>
          <w:lang w:val="en-US"/>
        </w:rPr>
      </w:pPr>
      <w:r>
        <w:rPr>
          <w:sz w:val="22"/>
          <w:szCs w:val="22"/>
          <w:lang w:val="en-GB"/>
        </w:rPr>
        <w:t xml:space="preserve">Both stackers are equipped with a large </w:t>
      </w:r>
      <w:r w:rsidR="00323C41">
        <w:rPr>
          <w:sz w:val="22"/>
          <w:szCs w:val="22"/>
          <w:lang w:val="en-GB"/>
        </w:rPr>
        <w:t>1.25</w:t>
      </w:r>
      <w:r>
        <w:rPr>
          <w:sz w:val="22"/>
          <w:szCs w:val="22"/>
          <w:lang w:val="en-GB"/>
        </w:rPr>
        <w:t xml:space="preserve"> m³ feed hopper made of resistant KRS (Kleemann Resistant Steel), which permits the feeding of material with an edge length of up to 200 mm without any problems. An optional hopper extension up to 2.5 m³ is provided with an additional impact bar that prevents the direct impact of the feed material on the conveyor belt and thus reduces wear. Thanks to the hydraulically adjustable feed and discharge height, a fast set-up is possible and the stackers can be used flexibly behind screening and crushing plants with different discharge heights.</w:t>
      </w:r>
    </w:p>
    <w:p w14:paraId="163CC87D" w14:textId="77777777" w:rsidR="00DA0198" w:rsidRPr="00323C41" w:rsidRDefault="00DA0198" w:rsidP="00AD2A2A">
      <w:pPr>
        <w:autoSpaceDE w:val="0"/>
        <w:autoSpaceDN w:val="0"/>
        <w:adjustRightInd w:val="0"/>
        <w:jc w:val="both"/>
        <w:rPr>
          <w:rFonts w:eastAsiaTheme="majorEastAsia" w:cstheme="majorBidi"/>
          <w:bCs/>
          <w:color w:val="000000" w:themeColor="text1"/>
          <w:sz w:val="22"/>
          <w:szCs w:val="22"/>
          <w:lang w:val="en-US"/>
        </w:rPr>
      </w:pPr>
    </w:p>
    <w:p w14:paraId="34E4117E" w14:textId="77777777" w:rsidR="001609A5" w:rsidRPr="00323C41" w:rsidRDefault="00000000" w:rsidP="001609A5">
      <w:pPr>
        <w:autoSpaceDE w:val="0"/>
        <w:autoSpaceDN w:val="0"/>
        <w:adjustRightInd w:val="0"/>
        <w:rPr>
          <w:b/>
          <w:bCs/>
          <w:sz w:val="22"/>
          <w:szCs w:val="22"/>
          <w:lang w:val="en-US"/>
        </w:rPr>
      </w:pPr>
      <w:r>
        <w:rPr>
          <w:b/>
          <w:bCs/>
          <w:sz w:val="22"/>
          <w:szCs w:val="22"/>
          <w:lang w:val="en-GB"/>
        </w:rPr>
        <w:t xml:space="preserve">Comfortable operation </w:t>
      </w:r>
    </w:p>
    <w:p w14:paraId="2C7FDD73" w14:textId="77777777" w:rsidR="00822E90" w:rsidRPr="00323C41" w:rsidRDefault="00000000" w:rsidP="001609A5">
      <w:pPr>
        <w:autoSpaceDE w:val="0"/>
        <w:autoSpaceDN w:val="0"/>
        <w:adjustRightInd w:val="0"/>
        <w:jc w:val="both"/>
        <w:rPr>
          <w:sz w:val="22"/>
          <w:szCs w:val="22"/>
          <w:lang w:val="en-US"/>
        </w:rPr>
      </w:pPr>
      <w:r>
        <w:rPr>
          <w:sz w:val="22"/>
          <w:szCs w:val="22"/>
          <w:lang w:val="en-GB"/>
        </w:rPr>
        <w:t>The operation of mobile stackers is less complex than crushing plants and it should also be simple and convenient. The MOBIBELT MBT 20(i) and MBT 24(i) therefore have an SPECTIVE operating concept that makes intuitive operation of the machines possible. During a typical workday, the operator receives ideal support with a central operating position, local operation and the option of troubleshooting help via SPECTIVE CONNECT.</w:t>
      </w:r>
    </w:p>
    <w:p w14:paraId="405F53FA" w14:textId="77777777" w:rsidR="00822E90" w:rsidRPr="00323C41" w:rsidRDefault="00822E90" w:rsidP="00AD2A2A">
      <w:pPr>
        <w:autoSpaceDE w:val="0"/>
        <w:autoSpaceDN w:val="0"/>
        <w:adjustRightInd w:val="0"/>
        <w:jc w:val="both"/>
        <w:rPr>
          <w:rFonts w:eastAsiaTheme="majorEastAsia" w:cstheme="majorBidi"/>
          <w:bCs/>
          <w:color w:val="000000" w:themeColor="text1"/>
          <w:sz w:val="20"/>
          <w:szCs w:val="20"/>
          <w:lang w:val="en-US"/>
        </w:rPr>
      </w:pPr>
    </w:p>
    <w:p w14:paraId="24257770" w14:textId="77777777" w:rsidR="004633C8" w:rsidRPr="00323C41" w:rsidRDefault="004633C8" w:rsidP="00600D40">
      <w:pPr>
        <w:pStyle w:val="Text"/>
        <w:rPr>
          <w:rFonts w:eastAsia="Calibri" w:cs="Arial"/>
          <w:b/>
          <w:sz w:val="20"/>
          <w:szCs w:val="20"/>
          <w:lang w:val="en-US"/>
        </w:rPr>
      </w:pPr>
    </w:p>
    <w:p w14:paraId="4C63C074" w14:textId="77777777" w:rsidR="00E46319" w:rsidRPr="00323C41" w:rsidRDefault="00E46319" w:rsidP="00600D40">
      <w:pPr>
        <w:pStyle w:val="Text"/>
        <w:rPr>
          <w:rFonts w:eastAsia="Calibri" w:cs="Arial"/>
          <w:b/>
          <w:sz w:val="20"/>
          <w:szCs w:val="20"/>
          <w:lang w:val="en-US"/>
        </w:rPr>
      </w:pPr>
    </w:p>
    <w:p w14:paraId="29DB07E5" w14:textId="77777777" w:rsidR="00E46319" w:rsidRPr="00323C41" w:rsidRDefault="00E46319" w:rsidP="00600D40">
      <w:pPr>
        <w:pStyle w:val="Text"/>
        <w:rPr>
          <w:rFonts w:eastAsia="Calibri" w:cs="Arial"/>
          <w:b/>
          <w:sz w:val="20"/>
          <w:szCs w:val="20"/>
          <w:lang w:val="en-US"/>
        </w:rPr>
      </w:pPr>
    </w:p>
    <w:p w14:paraId="52CAA94B" w14:textId="77777777" w:rsidR="00E46319" w:rsidRPr="00323C41" w:rsidRDefault="00E46319" w:rsidP="00600D40">
      <w:pPr>
        <w:pStyle w:val="Text"/>
        <w:rPr>
          <w:rFonts w:eastAsia="Calibri" w:cs="Arial"/>
          <w:b/>
          <w:sz w:val="20"/>
          <w:szCs w:val="20"/>
          <w:lang w:val="en-US"/>
        </w:rPr>
      </w:pPr>
    </w:p>
    <w:p w14:paraId="43CD7890" w14:textId="77777777" w:rsidR="00E46319" w:rsidRPr="00323C41" w:rsidRDefault="00E46319" w:rsidP="00600D40">
      <w:pPr>
        <w:pStyle w:val="Text"/>
        <w:rPr>
          <w:rFonts w:eastAsia="Calibri" w:cs="Arial"/>
          <w:b/>
          <w:sz w:val="20"/>
          <w:szCs w:val="20"/>
          <w:lang w:val="en-US"/>
        </w:rPr>
      </w:pPr>
    </w:p>
    <w:p w14:paraId="3C970FBE" w14:textId="77777777" w:rsidR="00E46319" w:rsidRPr="00323C41" w:rsidRDefault="00E46319" w:rsidP="00600D40">
      <w:pPr>
        <w:pStyle w:val="Text"/>
        <w:rPr>
          <w:rFonts w:eastAsia="Calibri" w:cs="Arial"/>
          <w:b/>
          <w:sz w:val="20"/>
          <w:szCs w:val="20"/>
          <w:lang w:val="en-US"/>
        </w:rPr>
      </w:pPr>
    </w:p>
    <w:p w14:paraId="0A43C74A" w14:textId="77777777" w:rsidR="0060303F" w:rsidRPr="00323C41" w:rsidRDefault="00000000">
      <w:pPr>
        <w:rPr>
          <w:rFonts w:eastAsia="Calibri" w:cs="Arial"/>
          <w:b/>
          <w:sz w:val="22"/>
          <w:szCs w:val="22"/>
          <w:lang w:val="en-US"/>
        </w:rPr>
      </w:pPr>
      <w:r>
        <w:rPr>
          <w:rFonts w:eastAsia="Calibri" w:cs="Arial"/>
          <w:b/>
          <w:bCs/>
          <w:szCs w:val="22"/>
          <w:lang w:val="en-GB"/>
        </w:rPr>
        <w:br w:type="page"/>
      </w:r>
    </w:p>
    <w:p w14:paraId="65411E7F" w14:textId="77777777" w:rsidR="00600D40" w:rsidRDefault="00000000" w:rsidP="00600D40">
      <w:pPr>
        <w:pStyle w:val="Text"/>
        <w:rPr>
          <w:b/>
        </w:rPr>
      </w:pPr>
      <w:r>
        <w:rPr>
          <w:rFonts w:eastAsia="Calibri" w:cs="Arial"/>
          <w:b/>
          <w:bCs/>
          <w:szCs w:val="22"/>
          <w:lang w:val="en-GB"/>
        </w:rPr>
        <w:lastRenderedPageBreak/>
        <w:t>Photos:</w:t>
      </w:r>
    </w:p>
    <w:p w14:paraId="0E3BEC52" w14:textId="77777777" w:rsidR="00D62ACD" w:rsidRDefault="00000000" w:rsidP="000E24F8">
      <w:pPr>
        <w:pStyle w:val="Text"/>
        <w:rPr>
          <w:b/>
          <w:color w:val="000000" w:themeColor="text1"/>
          <w:highlight w:val="yellow"/>
        </w:rPr>
      </w:pPr>
      <w:r>
        <w:rPr>
          <w:b/>
          <w:bCs/>
          <w:noProof/>
          <w:szCs w:val="22"/>
          <w:lang w:val="en-GB"/>
        </w:rPr>
        <w:drawing>
          <wp:inline distT="0" distB="0" distL="0" distR="0" wp14:anchorId="70AF4F54" wp14:editId="108342E7">
            <wp:extent cx="4229798" cy="309562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828236" name="Picture 3"/>
                    <pic:cNvPicPr>
                      <a:picLocks noChangeAspect="1" noChangeArrowheads="1"/>
                    </pic:cNvPicPr>
                  </pic:nvPicPr>
                  <pic:blipFill>
                    <a:blip r:embed="rId8" cstate="screen">
                      <a:extLst>
                        <a:ext uri="{28A0092B-C50C-407E-A947-70E740481C1C}">
                          <a14:useLocalDpi xmlns:a14="http://schemas.microsoft.com/office/drawing/2010/main" val="0"/>
                        </a:ext>
                      </a:extLst>
                    </a:blip>
                    <a:stretch>
                      <a:fillRect/>
                    </a:stretch>
                  </pic:blipFill>
                  <pic:spPr bwMode="auto">
                    <a:xfrm>
                      <a:off x="0" y="0"/>
                      <a:ext cx="4229798" cy="3095625"/>
                    </a:xfrm>
                    <a:prstGeom prst="rect">
                      <a:avLst/>
                    </a:prstGeom>
                    <a:noFill/>
                    <a:ln>
                      <a:noFill/>
                    </a:ln>
                  </pic:spPr>
                </pic:pic>
              </a:graphicData>
            </a:graphic>
          </wp:inline>
        </w:drawing>
      </w:r>
    </w:p>
    <w:p w14:paraId="2BE5B4C5" w14:textId="77777777" w:rsidR="00C42C59" w:rsidRPr="002D1DBD" w:rsidRDefault="00C42C59" w:rsidP="000E24F8">
      <w:pPr>
        <w:pStyle w:val="Text"/>
        <w:rPr>
          <w:b/>
          <w:color w:val="000000" w:themeColor="text1"/>
        </w:rPr>
      </w:pPr>
    </w:p>
    <w:p w14:paraId="2654BF23" w14:textId="77777777" w:rsidR="00600D40" w:rsidRPr="00323C41" w:rsidRDefault="00000000" w:rsidP="00600D40">
      <w:pPr>
        <w:autoSpaceDE w:val="0"/>
        <w:autoSpaceDN w:val="0"/>
        <w:adjustRightInd w:val="0"/>
        <w:rPr>
          <w:rFonts w:eastAsia="MS Mincho"/>
          <w:b/>
          <w:sz w:val="20"/>
          <w:szCs w:val="24"/>
          <w:lang w:val="en-US"/>
        </w:rPr>
      </w:pPr>
      <w:r>
        <w:rPr>
          <w:rFonts w:eastAsia="MS Mincho"/>
          <w:b/>
          <w:bCs/>
          <w:sz w:val="20"/>
          <w:szCs w:val="24"/>
          <w:lang w:val="en-GB"/>
        </w:rPr>
        <w:t xml:space="preserve">KL_MOBIBELT 24i </w:t>
      </w:r>
    </w:p>
    <w:p w14:paraId="1C3565D4" w14:textId="77777777" w:rsidR="00E46319" w:rsidRPr="00323C41" w:rsidRDefault="00000000" w:rsidP="00E46319">
      <w:pPr>
        <w:pStyle w:val="Text"/>
        <w:rPr>
          <w:b/>
          <w:color w:val="000000" w:themeColor="text1"/>
          <w:lang w:val="en-US"/>
        </w:rPr>
      </w:pPr>
      <w:r>
        <w:rPr>
          <w:color w:val="000000" w:themeColor="text1"/>
          <w:sz w:val="20"/>
          <w:szCs w:val="14"/>
          <w:lang w:val="en-GB"/>
        </w:rPr>
        <w:t xml:space="preserve">The mobile stackers MOBIBELT MBT 20(i) and MBT 24(i) from Kleemann make large stockpiles and improved work site logistics possible. </w:t>
      </w:r>
    </w:p>
    <w:p w14:paraId="47902DC3" w14:textId="77777777" w:rsidR="00091312" w:rsidRPr="00323C41" w:rsidRDefault="00091312" w:rsidP="000E24F8">
      <w:pPr>
        <w:pStyle w:val="Text"/>
        <w:rPr>
          <w:b/>
          <w:color w:val="000000" w:themeColor="text1"/>
          <w:lang w:val="en-US"/>
        </w:rPr>
      </w:pPr>
    </w:p>
    <w:p w14:paraId="01387114" w14:textId="77777777" w:rsidR="00E46319" w:rsidRPr="00323C41" w:rsidRDefault="00E46319" w:rsidP="000E24F8">
      <w:pPr>
        <w:pStyle w:val="Text"/>
        <w:rPr>
          <w:b/>
          <w:color w:val="000000" w:themeColor="text1"/>
          <w:lang w:val="en-US"/>
        </w:rPr>
      </w:pPr>
    </w:p>
    <w:p w14:paraId="6D56BA92" w14:textId="77777777" w:rsidR="008755E5" w:rsidRPr="00323C41" w:rsidRDefault="00000000" w:rsidP="008755E5">
      <w:pPr>
        <w:pStyle w:val="Text"/>
        <w:rPr>
          <w:lang w:val="en-US"/>
        </w:rPr>
      </w:pPr>
      <w:r>
        <w:rPr>
          <w:i/>
          <w:iCs/>
          <w:u w:val="single"/>
          <w:lang w:val="en-GB"/>
        </w:rPr>
        <w:t>Note:</w:t>
      </w:r>
      <w:r>
        <w:rPr>
          <w:i/>
          <w:iCs/>
          <w:lang w:val="en-GB"/>
        </w:rPr>
        <w:t xml:space="preserve"> This photo only serves as a preview. For printing in the publications, please use the photo in 300 dpi resolution which is available for downloading on the web pages of Wirtgen Group.</w:t>
      </w:r>
    </w:p>
    <w:p w14:paraId="3340569F" w14:textId="77777777" w:rsidR="008755E5" w:rsidRPr="00323C41" w:rsidRDefault="008755E5" w:rsidP="00690D7C">
      <w:pPr>
        <w:rPr>
          <w:sz w:val="22"/>
          <w:lang w:val="en-US"/>
        </w:rPr>
      </w:pPr>
    </w:p>
    <w:p w14:paraId="4647E036" w14:textId="77777777" w:rsidR="008755E5" w:rsidRPr="00323C41" w:rsidRDefault="008755E5" w:rsidP="008755E5">
      <w:pPr>
        <w:pStyle w:val="Text"/>
        <w:rPr>
          <w:lang w:val="en-US"/>
        </w:rPr>
      </w:pPr>
    </w:p>
    <w:tbl>
      <w:tblPr>
        <w:tblStyle w:val="Basic"/>
        <w:tblW w:w="0" w:type="auto"/>
        <w:tblLook w:val="04A0" w:firstRow="1" w:lastRow="0" w:firstColumn="1" w:lastColumn="0" w:noHBand="0" w:noVBand="1"/>
      </w:tblPr>
      <w:tblGrid>
        <w:gridCol w:w="4776"/>
        <w:gridCol w:w="4748"/>
      </w:tblGrid>
      <w:tr w:rsidR="005A016C" w14:paraId="1B9B1652" w14:textId="77777777" w:rsidTr="008E7B5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14:paraId="4E715846" w14:textId="77777777" w:rsidR="008755E5" w:rsidRPr="00323C41" w:rsidRDefault="00000000" w:rsidP="008E7B5E">
            <w:pPr>
              <w:pStyle w:val="HeadlineKontakte"/>
              <w:rPr>
                <w:lang w:val="en-US"/>
              </w:rPr>
            </w:pPr>
            <w:r>
              <w:rPr>
                <w:bCs/>
                <w:caps w:val="0"/>
                <w:szCs w:val="22"/>
                <w:lang w:val="en-GB"/>
              </w:rPr>
              <w:t>Further information</w:t>
            </w:r>
            <w:r>
              <w:rPr>
                <w:bCs/>
                <w:lang w:val="en-GB"/>
              </w:rPr>
              <w:t xml:space="preserve"> </w:t>
            </w:r>
          </w:p>
          <w:p w14:paraId="6D545B68" w14:textId="77777777" w:rsidR="008755E5" w:rsidRPr="00323C41" w:rsidRDefault="00000000" w:rsidP="008E7B5E">
            <w:pPr>
              <w:pStyle w:val="HeadlineKontakte"/>
              <w:rPr>
                <w:lang w:val="en-US"/>
              </w:rPr>
            </w:pPr>
            <w:r>
              <w:rPr>
                <w:bCs/>
                <w:caps w:val="0"/>
                <w:szCs w:val="22"/>
                <w:lang w:val="en-GB"/>
              </w:rPr>
              <w:t>is available from</w:t>
            </w:r>
            <w:r>
              <w:rPr>
                <w:bCs/>
                <w:lang w:val="en-GB"/>
              </w:rPr>
              <w:t>:</w:t>
            </w:r>
          </w:p>
          <w:p w14:paraId="584386C9" w14:textId="77777777" w:rsidR="008755E5" w:rsidRPr="00E04039" w:rsidRDefault="00000000" w:rsidP="008E7B5E">
            <w:pPr>
              <w:pStyle w:val="Text"/>
            </w:pPr>
            <w:r w:rsidRPr="00323C41">
              <w:t>WIRTGEN GROUP</w:t>
            </w:r>
          </w:p>
          <w:p w14:paraId="3196BD57" w14:textId="77777777" w:rsidR="008755E5" w:rsidRPr="00E04039" w:rsidRDefault="00000000" w:rsidP="008E7B5E">
            <w:pPr>
              <w:pStyle w:val="Text"/>
            </w:pPr>
            <w:r w:rsidRPr="00323C41">
              <w:t>Public Relations</w:t>
            </w:r>
          </w:p>
          <w:p w14:paraId="7EEA70CB" w14:textId="77777777" w:rsidR="008755E5" w:rsidRPr="00E04039" w:rsidRDefault="00000000" w:rsidP="008E7B5E">
            <w:pPr>
              <w:pStyle w:val="Text"/>
            </w:pPr>
            <w:r w:rsidRPr="00323C41">
              <w:t>Reinhard-Wirtgen-Straße 2</w:t>
            </w:r>
          </w:p>
          <w:p w14:paraId="02F612D0" w14:textId="77777777" w:rsidR="008755E5" w:rsidRPr="00E04039" w:rsidRDefault="00000000" w:rsidP="008E7B5E">
            <w:pPr>
              <w:pStyle w:val="Text"/>
            </w:pPr>
            <w:r>
              <w:rPr>
                <w:lang w:val="en-GB"/>
              </w:rPr>
              <w:t>53578 Windhagen</w:t>
            </w:r>
          </w:p>
          <w:p w14:paraId="353C5ACE" w14:textId="77777777" w:rsidR="008755E5" w:rsidRPr="00E04039" w:rsidRDefault="00000000" w:rsidP="008E7B5E">
            <w:pPr>
              <w:pStyle w:val="Text"/>
            </w:pPr>
            <w:r>
              <w:rPr>
                <w:lang w:val="en-GB"/>
              </w:rPr>
              <w:t>Germany</w:t>
            </w:r>
          </w:p>
          <w:p w14:paraId="67744EE0" w14:textId="77777777" w:rsidR="008755E5" w:rsidRPr="00E04039" w:rsidRDefault="008755E5" w:rsidP="008E7B5E">
            <w:pPr>
              <w:pStyle w:val="Text"/>
            </w:pPr>
          </w:p>
          <w:p w14:paraId="7402E780" w14:textId="77777777" w:rsidR="002603EC" w:rsidRPr="00696417" w:rsidRDefault="00000000" w:rsidP="008E7B5E">
            <w:pPr>
              <w:pStyle w:val="Text"/>
              <w:rPr>
                <w:color w:val="000000" w:themeColor="text1"/>
              </w:rPr>
            </w:pPr>
            <w:r>
              <w:rPr>
                <w:lang w:val="en-GB"/>
              </w:rPr>
              <w:t xml:space="preserve">Telephone: +49 (0) 2645 131 </w:t>
            </w:r>
            <w:r>
              <w:rPr>
                <w:color w:val="000000" w:themeColor="text1"/>
                <w:lang w:val="en-GB"/>
              </w:rPr>
              <w:t xml:space="preserve">– 1966 </w:t>
            </w:r>
          </w:p>
          <w:p w14:paraId="2E780A91" w14:textId="77777777" w:rsidR="008755E5" w:rsidRPr="00E04039" w:rsidRDefault="00000000" w:rsidP="008E7B5E">
            <w:pPr>
              <w:pStyle w:val="Text"/>
            </w:pPr>
            <w:r>
              <w:rPr>
                <w:lang w:val="en-GB"/>
              </w:rPr>
              <w:t>Fax: +49 (0) 2645 131 – 499</w:t>
            </w:r>
          </w:p>
          <w:p w14:paraId="4E3A3A43" w14:textId="77777777" w:rsidR="008755E5" w:rsidRPr="00E04039" w:rsidRDefault="00000000" w:rsidP="008E7B5E">
            <w:pPr>
              <w:pStyle w:val="Text"/>
            </w:pPr>
            <w:r>
              <w:rPr>
                <w:lang w:val="en-GB"/>
              </w:rPr>
              <w:t>E-mail: PR@wirtgen-group.com</w:t>
            </w:r>
          </w:p>
          <w:p w14:paraId="2AD9F129" w14:textId="77777777" w:rsidR="002D2EE5" w:rsidRPr="00407E4E" w:rsidRDefault="00000000" w:rsidP="008E7B5E">
            <w:pPr>
              <w:pStyle w:val="Text"/>
            </w:pPr>
            <w:r>
              <w:rPr>
                <w:lang w:val="en-GB"/>
              </w:rPr>
              <w:t>www.wirtgen-group.com</w:t>
            </w:r>
          </w:p>
        </w:tc>
        <w:tc>
          <w:tcPr>
            <w:tcW w:w="4832" w:type="dxa"/>
            <w:tcBorders>
              <w:left w:val="single" w:sz="48" w:space="0" w:color="FFFFFF" w:themeColor="background1"/>
            </w:tcBorders>
          </w:tcPr>
          <w:p w14:paraId="06057D0D" w14:textId="77777777" w:rsidR="008755E5" w:rsidRPr="00E04039" w:rsidRDefault="008755E5" w:rsidP="008E7B5E">
            <w:pPr>
              <w:pStyle w:val="Text"/>
            </w:pPr>
          </w:p>
        </w:tc>
      </w:tr>
    </w:tbl>
    <w:p w14:paraId="27B3FCEA" w14:textId="77777777" w:rsidR="00696417" w:rsidRDefault="00696417" w:rsidP="00696417">
      <w:pPr>
        <w:spacing w:line="280" w:lineRule="atLeast"/>
        <w:jc w:val="both"/>
      </w:pPr>
    </w:p>
    <w:p w14:paraId="3EFA6E88" w14:textId="77777777" w:rsidR="009E470F" w:rsidRDefault="009E470F" w:rsidP="00696417">
      <w:pPr>
        <w:spacing w:line="280" w:lineRule="atLeast"/>
        <w:jc w:val="both"/>
      </w:pPr>
    </w:p>
    <w:p w14:paraId="286F22DC" w14:textId="77777777" w:rsidR="009E470F" w:rsidRDefault="009E470F" w:rsidP="00696417">
      <w:pPr>
        <w:spacing w:line="280" w:lineRule="atLeast"/>
        <w:jc w:val="both"/>
      </w:pPr>
    </w:p>
    <w:p w14:paraId="4A992864" w14:textId="77777777" w:rsidR="009E470F" w:rsidRDefault="009E470F" w:rsidP="00696417">
      <w:pPr>
        <w:spacing w:line="280" w:lineRule="atLeast"/>
        <w:jc w:val="both"/>
      </w:pPr>
    </w:p>
    <w:sectPr w:rsidR="009E470F" w:rsidSect="00CA4A09">
      <w:headerReference w:type="even" r:id="rId9"/>
      <w:headerReference w:type="default" r:id="rId10"/>
      <w:footerReference w:type="even"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64EF7" w14:textId="77777777" w:rsidR="006244DF" w:rsidRDefault="006244DF">
      <w:r>
        <w:separator/>
      </w:r>
    </w:p>
  </w:endnote>
  <w:endnote w:type="continuationSeparator" w:id="0">
    <w:p w14:paraId="72DF92DB" w14:textId="77777777" w:rsidR="006244DF" w:rsidRDefault="0062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Neue-LightItalic">
    <w:altName w:val="Arial"/>
    <w:charset w:val="00"/>
    <w:family w:val="auto"/>
    <w:pitch w:val="variable"/>
    <w:sig w:usb0="A00002FF" w:usb1="5000205B" w:usb2="00000002" w:usb3="00000000" w:csb0="00000007"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74C70" w14:textId="77777777" w:rsidR="00A40E62" w:rsidRDefault="00A40E6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A016C" w14:paraId="35481B3E" w14:textId="77777777" w:rsidTr="00723F4F">
      <w:trPr>
        <w:trHeight w:hRule="exact" w:val="227"/>
      </w:trPr>
      <w:tc>
        <w:tcPr>
          <w:tcW w:w="8364" w:type="dxa"/>
          <w:shd w:val="clear" w:color="auto" w:fill="auto"/>
        </w:tcPr>
        <w:p w14:paraId="20CC4926" w14:textId="77777777" w:rsidR="00533132" w:rsidRPr="00723F4F" w:rsidRDefault="00000000" w:rsidP="00723F4F">
          <w:pPr>
            <w:pStyle w:val="Kolumnentitel"/>
            <w:rPr>
              <w:szCs w:val="20"/>
            </w:rPr>
          </w:pPr>
          <w:r>
            <w:rPr>
              <w:rStyle w:val="MittleresRaster11"/>
              <w:szCs w:val="20"/>
              <w:lang w:val="en-GB"/>
            </w:rPr>
            <w:t xml:space="preserve">     </w:t>
          </w:r>
        </w:p>
      </w:tc>
      <w:tc>
        <w:tcPr>
          <w:tcW w:w="1160" w:type="dxa"/>
          <w:shd w:val="clear" w:color="auto" w:fill="auto"/>
        </w:tcPr>
        <w:p w14:paraId="581EEBC7" w14:textId="77777777" w:rsidR="00533132" w:rsidRPr="00723F4F" w:rsidRDefault="00000000"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2A49ED38" w14:textId="77777777" w:rsidR="00533132" w:rsidRDefault="00000000">
    <w:pPr>
      <w:pStyle w:val="Fuzeile"/>
    </w:pPr>
    <w:r>
      <w:rPr>
        <w:noProof/>
        <w:lang w:val="en-GB"/>
      </w:rPr>
      <mc:AlternateContent>
        <mc:Choice Requires="wps">
          <w:drawing>
            <wp:anchor distT="0" distB="0" distL="114300" distR="114300" simplePos="0" relativeHeight="251664384" behindDoc="0" locked="0" layoutInCell="1" allowOverlap="1" wp14:anchorId="1EA3A980" wp14:editId="07AA5644">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12" o:spid="_x0000_s2051" style="width:476.2pt;height:1.4pt;margin-top:802.3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5408" fillcolor="#41535d" stroked="f" strokeweight="2p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A016C" w14:paraId="164589AB" w14:textId="77777777" w:rsidTr="00723F4F">
      <w:tc>
        <w:tcPr>
          <w:tcW w:w="9664" w:type="dxa"/>
          <w:shd w:val="clear" w:color="auto" w:fill="auto"/>
        </w:tcPr>
        <w:p w14:paraId="1A3C4C3D" w14:textId="77777777" w:rsidR="00533132" w:rsidRPr="00723F4F" w:rsidRDefault="00000000" w:rsidP="00723F4F">
          <w:pPr>
            <w:pStyle w:val="Fuzeile"/>
            <w:spacing w:before="96" w:after="96"/>
            <w:rPr>
              <w:szCs w:val="20"/>
            </w:rPr>
          </w:pPr>
          <w:r w:rsidRPr="00323C41">
            <w:rPr>
              <w:rStyle w:val="Hervorhebung"/>
              <w:bCs/>
              <w:iCs w:val="0"/>
              <w:szCs w:val="20"/>
            </w:rPr>
            <w:t>WIRTGEN GmbH</w:t>
          </w:r>
          <w:r w:rsidRPr="00323C41">
            <w:rPr>
              <w:szCs w:val="20"/>
            </w:rPr>
            <w:t xml:space="preserve"> · Reinhard-Wirtgen-Str. </w:t>
          </w:r>
          <w:r>
            <w:rPr>
              <w:szCs w:val="20"/>
              <w:lang w:val="en-GB"/>
            </w:rPr>
            <w:t>2 · D-53578 Windhagen · T: +49 26 45 / 131 0</w:t>
          </w:r>
        </w:p>
      </w:tc>
    </w:tr>
  </w:tbl>
  <w:p w14:paraId="04BF1FDE" w14:textId="77777777" w:rsidR="00533132" w:rsidRDefault="00000000">
    <w:pPr>
      <w:pStyle w:val="Fuzeile"/>
    </w:pPr>
    <w:r>
      <w:rPr>
        <w:noProof/>
        <w:lang w:val="en-GB"/>
      </w:rPr>
      <mc:AlternateContent>
        <mc:Choice Requires="wps">
          <w:drawing>
            <wp:anchor distT="0" distB="0" distL="114300" distR="114300" simplePos="0" relativeHeight="251662336" behindDoc="0" locked="0" layoutInCell="1" allowOverlap="1" wp14:anchorId="00AE47E7" wp14:editId="39090B76">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 xmlns:a="http://schemas.openxmlformats.org/drawingml/2006/main">
                <a:graphicData uri="http://schemas.microsoft.com/office/word/2010/wordprocessingShape">
                  <wps:wsp>
                    <wps:cNvSpPr/>
                    <wps:spPr>
                      <a:xfrm>
                        <a:off x="0" y="0"/>
                        <a:ext cx="6047740" cy="17780"/>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6" o:spid="_x0000_s2054" style="width:476.2pt;height:1.4pt;margin-top:793.8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3360" fillcolor="#41535d"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C1BC1" w14:textId="77777777" w:rsidR="006244DF" w:rsidRDefault="006244DF">
      <w:r>
        <w:separator/>
      </w:r>
    </w:p>
  </w:footnote>
  <w:footnote w:type="continuationSeparator" w:id="0">
    <w:p w14:paraId="3A5AE0F0" w14:textId="77777777" w:rsidR="006244DF" w:rsidRDefault="0062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58BC0" w14:textId="77777777" w:rsidR="00A40E62" w:rsidRDefault="00000000">
    <w:pPr>
      <w:pStyle w:val="Kopfzeile"/>
    </w:pPr>
    <w:r>
      <w:rPr>
        <w:noProof/>
        <w:lang w:val="en-GB"/>
      </w:rPr>
      <mc:AlternateContent>
        <mc:Choice Requires="wps">
          <w:drawing>
            <wp:anchor distT="0" distB="0" distL="0" distR="0" simplePos="0" relativeHeight="251669504" behindDoc="0" locked="0" layoutInCell="1" allowOverlap="1" wp14:anchorId="6B25A241" wp14:editId="1DCE8D67">
              <wp:simplePos x="0" y="0"/>
              <wp:positionH relativeFrom="rightMargin">
                <wp:align>right</wp:align>
              </wp:positionH>
              <wp:positionV relativeFrom="paragraph">
                <wp:posOffset>635</wp:posOffset>
              </wp:positionV>
              <wp:extent cx="443865" cy="443865"/>
              <wp:effectExtent l="0" t="0" r="0" b="16510"/>
              <wp:wrapSquare wrapText="bothSides"/>
              <wp:docPr id="16" name="Textfeld 16"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097D98" w14:textId="77777777" w:rsidR="00696417" w:rsidRPr="00696417" w:rsidRDefault="00000000">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6" o:spid="_x0000_s2049"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70528" filled="f" stroked="f">
              <v:textbox style="mso-fit-shape-to-text:t" inset="0,0,15pt,0">
                <w:txbxContent>
                  <w:p w:rsidR="00696417" w:rsidRPr="00696417" w14:paraId="69D6B6CF" w14:textId="6D301FE1">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2D5D4" w14:textId="77777777" w:rsidR="00533132" w:rsidRPr="00533132" w:rsidRDefault="00000000" w:rsidP="00533132">
    <w:pPr>
      <w:pStyle w:val="Kopfzeile"/>
    </w:pPr>
    <w:r>
      <w:rPr>
        <w:noProof/>
        <w:lang w:val="en-GB"/>
      </w:rPr>
      <mc:AlternateContent>
        <mc:Choice Requires="wps">
          <w:drawing>
            <wp:anchor distT="0" distB="0" distL="0" distR="0" simplePos="0" relativeHeight="251671552" behindDoc="0" locked="0" layoutInCell="1" allowOverlap="1" wp14:anchorId="18137094" wp14:editId="3CD28E2B">
              <wp:simplePos x="0" y="0"/>
              <wp:positionH relativeFrom="rightMargin">
                <wp:align>right</wp:align>
              </wp:positionH>
              <wp:positionV relativeFrom="paragraph">
                <wp:posOffset>635</wp:posOffset>
              </wp:positionV>
              <wp:extent cx="443865" cy="443865"/>
              <wp:effectExtent l="0" t="0" r="0" b="16510"/>
              <wp:wrapSquare wrapText="bothSides"/>
              <wp:docPr id="17" name="Textfeld 17"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21AFF6" w14:textId="77777777" w:rsidR="00696417" w:rsidRPr="00696417" w:rsidRDefault="00000000">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7" o:spid="_x0000_s2050"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72576" filled="f" stroked="f">
              <v:textbox style="mso-fit-shape-to-text:t" inset="0,0,15pt,0">
                <w:txbxContent>
                  <w:p w:rsidR="00696417" w:rsidRPr="00696417" w14:paraId="11BB04F5" w14:textId="4EB9F748">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v:shape>
          </w:pict>
        </mc:Fallback>
      </mc:AlternateContent>
    </w:r>
    <w:r>
      <w:rPr>
        <w:noProof/>
        <w:lang w:val="en-GB"/>
      </w:rPr>
      <w:drawing>
        <wp:anchor distT="0" distB="0" distL="114300" distR="114300" simplePos="0" relativeHeight="251666432" behindDoc="1" locked="0" layoutInCell="1" allowOverlap="1" wp14:anchorId="74A4EE7F" wp14:editId="765E6709">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498921"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55EDC" w14:textId="77777777" w:rsidR="00533132" w:rsidRDefault="00000000">
    <w:pPr>
      <w:pStyle w:val="Kopfzeile"/>
    </w:pPr>
    <w:r>
      <w:rPr>
        <w:noProof/>
        <w:lang w:val="en-GB"/>
      </w:rPr>
      <mc:AlternateContent>
        <mc:Choice Requires="wps">
          <w:drawing>
            <wp:anchor distT="0" distB="0" distL="0" distR="0" simplePos="0" relativeHeight="251667456" behindDoc="0" locked="0" layoutInCell="1" allowOverlap="1" wp14:anchorId="2CBC1C1C" wp14:editId="478F3ADC">
              <wp:simplePos x="0" y="0"/>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A048AD" w14:textId="77777777" w:rsidR="00696417" w:rsidRPr="00696417" w:rsidRDefault="00000000">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2052" type="#_x0000_t202" alt="Public" style="width:34.95pt;height:34.95pt;margin-top:0.05pt;margin-left:-16.25pt;mso-position-horizontal:right;mso-position-horizontal-relative:right-margin-area;mso-wrap-distance-bottom:0;mso-wrap-distance-left:0;mso-wrap-distance-right:0;mso-wrap-distance-top:0;mso-wrap-style:none;position:absolute;visibility:visible;v-text-anchor:top;z-index:251668480" filled="f" stroked="f">
              <v:textbox style="mso-fit-shape-to-text:t" inset="0,0,15pt,0">
                <w:txbxContent>
                  <w:p w:rsidR="00696417" w:rsidRPr="00696417" w14:paraId="3D7D0B2E" w14:textId="0122BF21">
                    <w:pPr>
                      <w:rPr>
                        <w:rFonts w:ascii="Calibri" w:eastAsia="Calibri" w:hAnsi="Calibri" w:cs="Calibri"/>
                        <w:color w:val="FF0000"/>
                        <w:sz w:val="20"/>
                        <w:szCs w:val="20"/>
                      </w:rPr>
                      <w:bidi w:val="0"/>
                    </w:pPr>
                    <w:r>
                      <w:rPr>
                        <w:rFonts w:ascii="Calibri" w:cs="Calibri" w:eastAsia="Calibri" w:hAnsi="Calibri"/>
                        <w:color w:val="FF0000"/>
                        <w:sz w:val="20"/>
                        <w:szCs w:val="20"/>
                        <w:lang w:val="en-gb"/>
                        <w:b w:val="0"/>
                        <w:bCs w:val="0"/>
                        <w:i w:val="0"/>
                        <w:iCs w:val="0"/>
                        <w:u w:val="none"/>
                        <w:vertAlign w:val="baseline"/>
                        <w:rtl w:val="0"/>
                      </w:rPr>
                      <w:t xml:space="preserve">Public</w:t>
                    </w:r>
                  </w:p>
                </w:txbxContent>
              </v:textbox>
              <w10:wrap type="square"/>
            </v:shape>
          </w:pict>
        </mc:Fallback>
      </mc:AlternateContent>
    </w:r>
    <w:r>
      <w:rPr>
        <w:noProof/>
        <w:lang w:val="en-GB"/>
      </w:rPr>
      <mc:AlternateContent>
        <mc:Choice Requires="wps">
          <w:drawing>
            <wp:anchor distT="0" distB="0" distL="114300" distR="114300" simplePos="0" relativeHeight="251660288" behindDoc="0" locked="0" layoutInCell="1" allowOverlap="1" wp14:anchorId="5CD1D7D9" wp14:editId="79527612">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 xmlns:a="http://schemas.openxmlformats.org/drawingml/2006/main">
                <a:graphicData uri="http://schemas.microsoft.com/office/word/2010/wordprocessingShape">
                  <wps:wsp>
                    <wps:cNvSpPr/>
                    <wps:spPr>
                      <a:xfrm>
                        <a:off x="0" y="0"/>
                        <a:ext cx="6047740" cy="36195"/>
                      </a:xfrm>
                      <a:prstGeom prst="rect">
                        <a:avLst/>
                      </a:prstGeom>
                      <a:solidFill>
                        <a:srgbClr val="41535D"/>
                      </a:solidFill>
                      <a:ln w="25400">
                        <a:noFill/>
                        <a:prstDash val="solid"/>
                      </a:ln>
                      <a:effectLst/>
                    </wps:spPr>
                    <wps:bodyPr rot="0" spcFirstLastPara="0" vertOverflow="overflow" horzOverflow="overflow" vert="horz" wrap="square" numCol="1" spcCol="0" rtlCol="0" fromWordArt="0" anchor="ctr"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id="Rechteck 5" o:spid="_x0000_s2053" style="width:476.2pt;height:2.85pt;margin-top:73.7pt;margin-left:59.55pt;mso-height-percent:0;mso-height-relative:margin;mso-position-horizontal-relative:page;mso-position-vertical-relative:page;mso-width-percent:0;mso-width-relative:margin;mso-wrap-distance-bottom:0;mso-wrap-distance-left:9pt;mso-wrap-distance-right:9pt;mso-wrap-distance-top:0;mso-wrap-style:square;position:absolute;visibility:visible;v-text-anchor:middle;z-index:251661312" fillcolor="#41535d" stroked="f" strokeweight="2pt"/>
          </w:pict>
        </mc:Fallback>
      </mc:AlternateContent>
    </w:r>
    <w:r>
      <w:rPr>
        <w:noProof/>
        <w:lang w:val="en-GB"/>
      </w:rPr>
      <w:drawing>
        <wp:anchor distT="0" distB="0" distL="114300" distR="114300" simplePos="0" relativeHeight="251659264" behindDoc="0" locked="0" layoutInCell="1" allowOverlap="1" wp14:anchorId="6B88935D" wp14:editId="718A365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988168"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8240" behindDoc="0" locked="0" layoutInCell="1" allowOverlap="1" wp14:anchorId="5E52B20B" wp14:editId="25852A23">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243909" name="Grafik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00pt;height:1500pt" o:bullet="t">
        <v:imagedata r:id="rId1" o:title="AZ_04a"/>
      </v:shape>
    </w:pict>
  </w:numPicBullet>
  <w:numPicBullet w:numPicBulletId="1">
    <w:pict>
      <v:shape id="_x0000_i105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3242AD2"/>
    <w:multiLevelType w:val="hybridMultilevel"/>
    <w:tmpl w:val="16422DC8"/>
    <w:lvl w:ilvl="0" w:tplc="F8BA83B2">
      <w:numFmt w:val="bullet"/>
      <w:lvlText w:val=""/>
      <w:lvlJc w:val="left"/>
      <w:pPr>
        <w:ind w:left="720" w:hanging="360"/>
      </w:pPr>
      <w:rPr>
        <w:rFonts w:ascii="Wingdings" w:eastAsiaTheme="minorHAnsi" w:hAnsi="Wingdings" w:cstheme="minorBidi" w:hint="default"/>
      </w:rPr>
    </w:lvl>
    <w:lvl w:ilvl="1" w:tplc="AF084738" w:tentative="1">
      <w:start w:val="1"/>
      <w:numFmt w:val="bullet"/>
      <w:lvlText w:val="o"/>
      <w:lvlJc w:val="left"/>
      <w:pPr>
        <w:ind w:left="1440" w:hanging="360"/>
      </w:pPr>
      <w:rPr>
        <w:rFonts w:ascii="Courier New" w:hAnsi="Courier New" w:cs="Courier New" w:hint="default"/>
      </w:rPr>
    </w:lvl>
    <w:lvl w:ilvl="2" w:tplc="B8AAE498" w:tentative="1">
      <w:start w:val="1"/>
      <w:numFmt w:val="bullet"/>
      <w:lvlText w:val=""/>
      <w:lvlJc w:val="left"/>
      <w:pPr>
        <w:ind w:left="2160" w:hanging="360"/>
      </w:pPr>
      <w:rPr>
        <w:rFonts w:ascii="Wingdings" w:hAnsi="Wingdings" w:hint="default"/>
      </w:rPr>
    </w:lvl>
    <w:lvl w:ilvl="3" w:tplc="1C16E6FA" w:tentative="1">
      <w:start w:val="1"/>
      <w:numFmt w:val="bullet"/>
      <w:lvlText w:val=""/>
      <w:lvlJc w:val="left"/>
      <w:pPr>
        <w:ind w:left="2880" w:hanging="360"/>
      </w:pPr>
      <w:rPr>
        <w:rFonts w:ascii="Symbol" w:hAnsi="Symbol" w:hint="default"/>
      </w:rPr>
    </w:lvl>
    <w:lvl w:ilvl="4" w:tplc="8C1C82C2" w:tentative="1">
      <w:start w:val="1"/>
      <w:numFmt w:val="bullet"/>
      <w:lvlText w:val="o"/>
      <w:lvlJc w:val="left"/>
      <w:pPr>
        <w:ind w:left="3600" w:hanging="360"/>
      </w:pPr>
      <w:rPr>
        <w:rFonts w:ascii="Courier New" w:hAnsi="Courier New" w:cs="Courier New" w:hint="default"/>
      </w:rPr>
    </w:lvl>
    <w:lvl w:ilvl="5" w:tplc="E57EB284" w:tentative="1">
      <w:start w:val="1"/>
      <w:numFmt w:val="bullet"/>
      <w:lvlText w:val=""/>
      <w:lvlJc w:val="left"/>
      <w:pPr>
        <w:ind w:left="4320" w:hanging="360"/>
      </w:pPr>
      <w:rPr>
        <w:rFonts w:ascii="Wingdings" w:hAnsi="Wingdings" w:hint="default"/>
      </w:rPr>
    </w:lvl>
    <w:lvl w:ilvl="6" w:tplc="1DCA1BF4" w:tentative="1">
      <w:start w:val="1"/>
      <w:numFmt w:val="bullet"/>
      <w:lvlText w:val=""/>
      <w:lvlJc w:val="left"/>
      <w:pPr>
        <w:ind w:left="5040" w:hanging="360"/>
      </w:pPr>
      <w:rPr>
        <w:rFonts w:ascii="Symbol" w:hAnsi="Symbol" w:hint="default"/>
      </w:rPr>
    </w:lvl>
    <w:lvl w:ilvl="7" w:tplc="E90285C8" w:tentative="1">
      <w:start w:val="1"/>
      <w:numFmt w:val="bullet"/>
      <w:lvlText w:val="o"/>
      <w:lvlJc w:val="left"/>
      <w:pPr>
        <w:ind w:left="5760" w:hanging="360"/>
      </w:pPr>
      <w:rPr>
        <w:rFonts w:ascii="Courier New" w:hAnsi="Courier New" w:cs="Courier New" w:hint="default"/>
      </w:rPr>
    </w:lvl>
    <w:lvl w:ilvl="8" w:tplc="E6A4D2C0" w:tentative="1">
      <w:start w:val="1"/>
      <w:numFmt w:val="bullet"/>
      <w:lvlText w:val=""/>
      <w:lvlJc w:val="left"/>
      <w:pPr>
        <w:ind w:left="6480" w:hanging="360"/>
      </w:pPr>
      <w:rPr>
        <w:rFonts w:ascii="Wingdings" w:hAnsi="Wingding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859198274">
    <w:abstractNumId w:val="9"/>
  </w:num>
  <w:num w:numId="2" w16cid:durableId="155269141">
    <w:abstractNumId w:val="9"/>
  </w:num>
  <w:num w:numId="3" w16cid:durableId="1818760337">
    <w:abstractNumId w:val="9"/>
  </w:num>
  <w:num w:numId="4" w16cid:durableId="480389191">
    <w:abstractNumId w:val="9"/>
  </w:num>
  <w:num w:numId="5" w16cid:durableId="1246719669">
    <w:abstractNumId w:val="9"/>
  </w:num>
  <w:num w:numId="6" w16cid:durableId="174615290">
    <w:abstractNumId w:val="2"/>
  </w:num>
  <w:num w:numId="7" w16cid:durableId="1204290029">
    <w:abstractNumId w:val="2"/>
  </w:num>
  <w:num w:numId="8" w16cid:durableId="476799143">
    <w:abstractNumId w:val="2"/>
  </w:num>
  <w:num w:numId="9" w16cid:durableId="2060081397">
    <w:abstractNumId w:val="2"/>
  </w:num>
  <w:num w:numId="10" w16cid:durableId="89474994">
    <w:abstractNumId w:val="2"/>
  </w:num>
  <w:num w:numId="11" w16cid:durableId="1788350963">
    <w:abstractNumId w:val="5"/>
  </w:num>
  <w:num w:numId="12" w16cid:durableId="699160970">
    <w:abstractNumId w:val="5"/>
  </w:num>
  <w:num w:numId="13" w16cid:durableId="2080980222">
    <w:abstractNumId w:val="4"/>
  </w:num>
  <w:num w:numId="14" w16cid:durableId="15815202">
    <w:abstractNumId w:val="4"/>
  </w:num>
  <w:num w:numId="15" w16cid:durableId="650669656">
    <w:abstractNumId w:val="4"/>
  </w:num>
  <w:num w:numId="16" w16cid:durableId="148257161">
    <w:abstractNumId w:val="4"/>
  </w:num>
  <w:num w:numId="17" w16cid:durableId="1565023525">
    <w:abstractNumId w:val="4"/>
  </w:num>
  <w:num w:numId="18" w16cid:durableId="1832287501">
    <w:abstractNumId w:val="1"/>
  </w:num>
  <w:num w:numId="19" w16cid:durableId="1874146773">
    <w:abstractNumId w:val="3"/>
  </w:num>
  <w:num w:numId="20" w16cid:durableId="1419056297">
    <w:abstractNumId w:val="8"/>
  </w:num>
  <w:num w:numId="21" w16cid:durableId="7540580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71982967">
    <w:abstractNumId w:val="0"/>
  </w:num>
  <w:num w:numId="23" w16cid:durableId="539634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3848497">
    <w:abstractNumId w:val="6"/>
  </w:num>
  <w:num w:numId="25" w16cid:durableId="370738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01833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745C"/>
    <w:rsid w:val="000148B3"/>
    <w:rsid w:val="00020E65"/>
    <w:rsid w:val="00035CE2"/>
    <w:rsid w:val="00040087"/>
    <w:rsid w:val="00042106"/>
    <w:rsid w:val="0004479F"/>
    <w:rsid w:val="0005285B"/>
    <w:rsid w:val="00055529"/>
    <w:rsid w:val="00066793"/>
    <w:rsid w:val="00066D09"/>
    <w:rsid w:val="0007706F"/>
    <w:rsid w:val="00077EA4"/>
    <w:rsid w:val="00091312"/>
    <w:rsid w:val="0009665C"/>
    <w:rsid w:val="000A36D9"/>
    <w:rsid w:val="000C692F"/>
    <w:rsid w:val="000D15C3"/>
    <w:rsid w:val="000D18FA"/>
    <w:rsid w:val="000E24F8"/>
    <w:rsid w:val="000E5738"/>
    <w:rsid w:val="000F2DD1"/>
    <w:rsid w:val="000F4FF6"/>
    <w:rsid w:val="00103205"/>
    <w:rsid w:val="001100DC"/>
    <w:rsid w:val="00115EF6"/>
    <w:rsid w:val="0011795C"/>
    <w:rsid w:val="001201DE"/>
    <w:rsid w:val="0012026F"/>
    <w:rsid w:val="00130601"/>
    <w:rsid w:val="00132055"/>
    <w:rsid w:val="00140BDD"/>
    <w:rsid w:val="00151530"/>
    <w:rsid w:val="001609A5"/>
    <w:rsid w:val="001613A6"/>
    <w:rsid w:val="001614F0"/>
    <w:rsid w:val="001616F4"/>
    <w:rsid w:val="00162F87"/>
    <w:rsid w:val="00164A78"/>
    <w:rsid w:val="001706D1"/>
    <w:rsid w:val="00177B3A"/>
    <w:rsid w:val="0018021A"/>
    <w:rsid w:val="001844A9"/>
    <w:rsid w:val="00194FB1"/>
    <w:rsid w:val="001A1DE8"/>
    <w:rsid w:val="001A6A9A"/>
    <w:rsid w:val="001A6BD8"/>
    <w:rsid w:val="001B16BB"/>
    <w:rsid w:val="001B5A7B"/>
    <w:rsid w:val="001C1A3E"/>
    <w:rsid w:val="001D0CB5"/>
    <w:rsid w:val="001E1AD1"/>
    <w:rsid w:val="001E50EC"/>
    <w:rsid w:val="00217B9D"/>
    <w:rsid w:val="002347A9"/>
    <w:rsid w:val="00250808"/>
    <w:rsid w:val="00253A2E"/>
    <w:rsid w:val="002603EC"/>
    <w:rsid w:val="00272351"/>
    <w:rsid w:val="00273634"/>
    <w:rsid w:val="00275BC2"/>
    <w:rsid w:val="002932E2"/>
    <w:rsid w:val="0029634D"/>
    <w:rsid w:val="002C7D0B"/>
    <w:rsid w:val="002D065C"/>
    <w:rsid w:val="002D0780"/>
    <w:rsid w:val="002D1DBD"/>
    <w:rsid w:val="002D2EE5"/>
    <w:rsid w:val="002E354E"/>
    <w:rsid w:val="002E765F"/>
    <w:rsid w:val="002F108B"/>
    <w:rsid w:val="002F4198"/>
    <w:rsid w:val="002F5818"/>
    <w:rsid w:val="0030316D"/>
    <w:rsid w:val="00323C41"/>
    <w:rsid w:val="0032774C"/>
    <w:rsid w:val="00332B24"/>
    <w:rsid w:val="0034191A"/>
    <w:rsid w:val="00343CC7"/>
    <w:rsid w:val="0036561D"/>
    <w:rsid w:val="003665BE"/>
    <w:rsid w:val="0036743C"/>
    <w:rsid w:val="00384A08"/>
    <w:rsid w:val="00387A84"/>
    <w:rsid w:val="003967E5"/>
    <w:rsid w:val="003A753A"/>
    <w:rsid w:val="003E1CB6"/>
    <w:rsid w:val="003E3CF6"/>
    <w:rsid w:val="003E759F"/>
    <w:rsid w:val="003E7853"/>
    <w:rsid w:val="00400FD9"/>
    <w:rsid w:val="004016F7"/>
    <w:rsid w:val="00403373"/>
    <w:rsid w:val="00406C81"/>
    <w:rsid w:val="004074D6"/>
    <w:rsid w:val="00407E4E"/>
    <w:rsid w:val="00412545"/>
    <w:rsid w:val="004221A0"/>
    <w:rsid w:val="00426B30"/>
    <w:rsid w:val="00430098"/>
    <w:rsid w:val="00430BB0"/>
    <w:rsid w:val="00444835"/>
    <w:rsid w:val="00451363"/>
    <w:rsid w:val="004633C8"/>
    <w:rsid w:val="00476100"/>
    <w:rsid w:val="00487BFC"/>
    <w:rsid w:val="004B0B2D"/>
    <w:rsid w:val="004B6341"/>
    <w:rsid w:val="004C4563"/>
    <w:rsid w:val="004D23D0"/>
    <w:rsid w:val="004D2AB9"/>
    <w:rsid w:val="004D2BE0"/>
    <w:rsid w:val="004E4B60"/>
    <w:rsid w:val="004E6EF5"/>
    <w:rsid w:val="005040C9"/>
    <w:rsid w:val="00506409"/>
    <w:rsid w:val="005069F4"/>
    <w:rsid w:val="005217F1"/>
    <w:rsid w:val="00530E32"/>
    <w:rsid w:val="00533132"/>
    <w:rsid w:val="00536D91"/>
    <w:rsid w:val="00544DC2"/>
    <w:rsid w:val="005649F4"/>
    <w:rsid w:val="0056595A"/>
    <w:rsid w:val="005710C8"/>
    <w:rsid w:val="005711A3"/>
    <w:rsid w:val="00571A5C"/>
    <w:rsid w:val="00573B2B"/>
    <w:rsid w:val="005776E9"/>
    <w:rsid w:val="0058443C"/>
    <w:rsid w:val="005A016C"/>
    <w:rsid w:val="005A06B5"/>
    <w:rsid w:val="005A4F04"/>
    <w:rsid w:val="005B5793"/>
    <w:rsid w:val="005D7DD7"/>
    <w:rsid w:val="00600D40"/>
    <w:rsid w:val="0060303F"/>
    <w:rsid w:val="00605DF2"/>
    <w:rsid w:val="006063D4"/>
    <w:rsid w:val="00607C67"/>
    <w:rsid w:val="00613489"/>
    <w:rsid w:val="006244DF"/>
    <w:rsid w:val="0062765B"/>
    <w:rsid w:val="006330A2"/>
    <w:rsid w:val="00634D99"/>
    <w:rsid w:val="00642BC1"/>
    <w:rsid w:val="00642EB6"/>
    <w:rsid w:val="006433E2"/>
    <w:rsid w:val="00643A97"/>
    <w:rsid w:val="00651E5D"/>
    <w:rsid w:val="00682B1A"/>
    <w:rsid w:val="00684ED9"/>
    <w:rsid w:val="00690D7C"/>
    <w:rsid w:val="00693907"/>
    <w:rsid w:val="00696417"/>
    <w:rsid w:val="006A3907"/>
    <w:rsid w:val="006A4DE6"/>
    <w:rsid w:val="006B3EEC"/>
    <w:rsid w:val="006D74AE"/>
    <w:rsid w:val="006D7EAC"/>
    <w:rsid w:val="006E0104"/>
    <w:rsid w:val="006F4F41"/>
    <w:rsid w:val="006F7602"/>
    <w:rsid w:val="00706E32"/>
    <w:rsid w:val="00722A17"/>
    <w:rsid w:val="00723F4F"/>
    <w:rsid w:val="0074130B"/>
    <w:rsid w:val="00755AE0"/>
    <w:rsid w:val="0075761B"/>
    <w:rsid w:val="00757B83"/>
    <w:rsid w:val="007638F3"/>
    <w:rsid w:val="00791A69"/>
    <w:rsid w:val="00794830"/>
    <w:rsid w:val="00797CAA"/>
    <w:rsid w:val="007C2658"/>
    <w:rsid w:val="007D40B2"/>
    <w:rsid w:val="007D59A2"/>
    <w:rsid w:val="007E20D0"/>
    <w:rsid w:val="007E3DAB"/>
    <w:rsid w:val="007F752D"/>
    <w:rsid w:val="008053B3"/>
    <w:rsid w:val="00820315"/>
    <w:rsid w:val="00821D93"/>
    <w:rsid w:val="00822E90"/>
    <w:rsid w:val="008320FB"/>
    <w:rsid w:val="00832921"/>
    <w:rsid w:val="008427F2"/>
    <w:rsid w:val="00843B45"/>
    <w:rsid w:val="00851843"/>
    <w:rsid w:val="00863129"/>
    <w:rsid w:val="0086560B"/>
    <w:rsid w:val="00866830"/>
    <w:rsid w:val="00874F2E"/>
    <w:rsid w:val="008755E5"/>
    <w:rsid w:val="00877147"/>
    <w:rsid w:val="00892F6F"/>
    <w:rsid w:val="00896F7E"/>
    <w:rsid w:val="008C2A29"/>
    <w:rsid w:val="008C2DB2"/>
    <w:rsid w:val="008D770E"/>
    <w:rsid w:val="008E7B5E"/>
    <w:rsid w:val="0090337E"/>
    <w:rsid w:val="009111FE"/>
    <w:rsid w:val="00915993"/>
    <w:rsid w:val="0092522B"/>
    <w:rsid w:val="009328FA"/>
    <w:rsid w:val="00936A78"/>
    <w:rsid w:val="00943606"/>
    <w:rsid w:val="00952853"/>
    <w:rsid w:val="00961EE1"/>
    <w:rsid w:val="009634DC"/>
    <w:rsid w:val="00963988"/>
    <w:rsid w:val="009646E4"/>
    <w:rsid w:val="00977EC3"/>
    <w:rsid w:val="009B211F"/>
    <w:rsid w:val="009B5204"/>
    <w:rsid w:val="009B7C05"/>
    <w:rsid w:val="009C2378"/>
    <w:rsid w:val="009C5A77"/>
    <w:rsid w:val="009C5D99"/>
    <w:rsid w:val="009D016F"/>
    <w:rsid w:val="009D48D9"/>
    <w:rsid w:val="009D7E60"/>
    <w:rsid w:val="009E251D"/>
    <w:rsid w:val="009E470F"/>
    <w:rsid w:val="009F10A8"/>
    <w:rsid w:val="009F4627"/>
    <w:rsid w:val="00A02F49"/>
    <w:rsid w:val="00A06278"/>
    <w:rsid w:val="00A119E2"/>
    <w:rsid w:val="00A171F4"/>
    <w:rsid w:val="00A1772D"/>
    <w:rsid w:val="00A177B2"/>
    <w:rsid w:val="00A24EFC"/>
    <w:rsid w:val="00A27B56"/>
    <w:rsid w:val="00A40E62"/>
    <w:rsid w:val="00A47556"/>
    <w:rsid w:val="00A51F29"/>
    <w:rsid w:val="00A56A89"/>
    <w:rsid w:val="00A636D6"/>
    <w:rsid w:val="00A71CF2"/>
    <w:rsid w:val="00A75A26"/>
    <w:rsid w:val="00A9565F"/>
    <w:rsid w:val="00A977CE"/>
    <w:rsid w:val="00AB52F9"/>
    <w:rsid w:val="00AB65B9"/>
    <w:rsid w:val="00AC5B80"/>
    <w:rsid w:val="00AD131F"/>
    <w:rsid w:val="00AD2A2A"/>
    <w:rsid w:val="00AD32D5"/>
    <w:rsid w:val="00AD70E4"/>
    <w:rsid w:val="00AF3B3A"/>
    <w:rsid w:val="00AF4E8E"/>
    <w:rsid w:val="00AF6569"/>
    <w:rsid w:val="00B00EE7"/>
    <w:rsid w:val="00B0129B"/>
    <w:rsid w:val="00B06265"/>
    <w:rsid w:val="00B14723"/>
    <w:rsid w:val="00B42872"/>
    <w:rsid w:val="00B5232A"/>
    <w:rsid w:val="00B55310"/>
    <w:rsid w:val="00B74F34"/>
    <w:rsid w:val="00B75188"/>
    <w:rsid w:val="00B83E69"/>
    <w:rsid w:val="00B85BDB"/>
    <w:rsid w:val="00B90F78"/>
    <w:rsid w:val="00BB34DD"/>
    <w:rsid w:val="00BD1058"/>
    <w:rsid w:val="00BD5391"/>
    <w:rsid w:val="00BD764C"/>
    <w:rsid w:val="00BF0505"/>
    <w:rsid w:val="00BF3DC6"/>
    <w:rsid w:val="00BF56B2"/>
    <w:rsid w:val="00BF5CD6"/>
    <w:rsid w:val="00C055AB"/>
    <w:rsid w:val="00C05746"/>
    <w:rsid w:val="00C11F95"/>
    <w:rsid w:val="00C136DF"/>
    <w:rsid w:val="00C16524"/>
    <w:rsid w:val="00C33978"/>
    <w:rsid w:val="00C36869"/>
    <w:rsid w:val="00C37F49"/>
    <w:rsid w:val="00C40627"/>
    <w:rsid w:val="00C42C59"/>
    <w:rsid w:val="00C457C3"/>
    <w:rsid w:val="00C50CB6"/>
    <w:rsid w:val="00C644CA"/>
    <w:rsid w:val="00C73005"/>
    <w:rsid w:val="00C85E18"/>
    <w:rsid w:val="00CA4A09"/>
    <w:rsid w:val="00CC787C"/>
    <w:rsid w:val="00CF36C9"/>
    <w:rsid w:val="00D00EC4"/>
    <w:rsid w:val="00D02017"/>
    <w:rsid w:val="00D10C6F"/>
    <w:rsid w:val="00D166AC"/>
    <w:rsid w:val="00D3141A"/>
    <w:rsid w:val="00D36BA2"/>
    <w:rsid w:val="00D37CF4"/>
    <w:rsid w:val="00D4487C"/>
    <w:rsid w:val="00D5734A"/>
    <w:rsid w:val="00D62ACD"/>
    <w:rsid w:val="00D65152"/>
    <w:rsid w:val="00D83224"/>
    <w:rsid w:val="00D95EAF"/>
    <w:rsid w:val="00DA0198"/>
    <w:rsid w:val="00DA0992"/>
    <w:rsid w:val="00DA0FAD"/>
    <w:rsid w:val="00DA6969"/>
    <w:rsid w:val="00DB2CFB"/>
    <w:rsid w:val="00DB375E"/>
    <w:rsid w:val="00DB4BB0"/>
    <w:rsid w:val="00DE461D"/>
    <w:rsid w:val="00DE6F8E"/>
    <w:rsid w:val="00DF708B"/>
    <w:rsid w:val="00E04039"/>
    <w:rsid w:val="00E14608"/>
    <w:rsid w:val="00E21E67"/>
    <w:rsid w:val="00E30EBF"/>
    <w:rsid w:val="00E316C0"/>
    <w:rsid w:val="00E46319"/>
    <w:rsid w:val="00E52D70"/>
    <w:rsid w:val="00E55534"/>
    <w:rsid w:val="00E7116D"/>
    <w:rsid w:val="00E7159E"/>
    <w:rsid w:val="00E85732"/>
    <w:rsid w:val="00E914D1"/>
    <w:rsid w:val="00E960D8"/>
    <w:rsid w:val="00ED7BB1"/>
    <w:rsid w:val="00EF3846"/>
    <w:rsid w:val="00EF512B"/>
    <w:rsid w:val="00F047EB"/>
    <w:rsid w:val="00F17DDE"/>
    <w:rsid w:val="00F20920"/>
    <w:rsid w:val="00F23212"/>
    <w:rsid w:val="00F32D33"/>
    <w:rsid w:val="00F33B16"/>
    <w:rsid w:val="00F34070"/>
    <w:rsid w:val="00F353EA"/>
    <w:rsid w:val="00F56318"/>
    <w:rsid w:val="00F56CC4"/>
    <w:rsid w:val="00F74479"/>
    <w:rsid w:val="00F75B79"/>
    <w:rsid w:val="00F82525"/>
    <w:rsid w:val="00F833AC"/>
    <w:rsid w:val="00F91E30"/>
    <w:rsid w:val="00F97FEA"/>
    <w:rsid w:val="00FB60E1"/>
    <w:rsid w:val="00FD3768"/>
    <w:rsid w:val="00FF52AE"/>
    <w:rsid w:val="00FF7EA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D7FFC9"/>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1RoadNews">
    <w:name w:val="_1RoadNews"/>
    <w:basedOn w:val="Standard"/>
    <w:rsid w:val="002F5818"/>
    <w:pPr>
      <w:widowControl w:val="0"/>
      <w:suppressAutoHyphens/>
      <w:autoSpaceDE w:val="0"/>
      <w:autoSpaceDN w:val="0"/>
      <w:adjustRightInd w:val="0"/>
      <w:spacing w:line="290" w:lineRule="atLeast"/>
      <w:textAlignment w:val="center"/>
    </w:pPr>
    <w:rPr>
      <w:rFonts w:ascii="Arial" w:eastAsia="Times New Roman" w:hAnsi="Arial" w:cs="HelveticaNeue-LightItalic"/>
      <w:iCs/>
      <w:color w:val="000000"/>
      <w:spacing w:val="3"/>
      <w:sz w:val="22"/>
      <w:szCs w:val="18"/>
      <w:lang w:eastAsia="de-DE" w:bidi="de-DE"/>
    </w:rPr>
  </w:style>
  <w:style w:type="paragraph" w:styleId="Listenabsatz">
    <w:name w:val="List Paragraph"/>
    <w:basedOn w:val="Standard"/>
    <w:uiPriority w:val="34"/>
    <w:qFormat/>
    <w:rsid w:val="004B0B2D"/>
    <w:pPr>
      <w:spacing w:after="200"/>
      <w:ind w:left="720"/>
      <w:contextualSpacing/>
    </w:pPr>
    <w:rPr>
      <w:rFonts w:asciiTheme="minorHAnsi" w:eastAsiaTheme="minorHAnsi" w:hAnsiTheme="minorHAnsi" w:cstheme="minorBidi"/>
      <w:sz w:val="22"/>
      <w:szCs w:val="22"/>
    </w:rPr>
  </w:style>
  <w:style w:type="paragraph" w:styleId="StandardWeb">
    <w:name w:val="Normal (Web)"/>
    <w:basedOn w:val="Standard"/>
    <w:uiPriority w:val="99"/>
    <w:semiHidden/>
    <w:unhideWhenUsed/>
    <w:rsid w:val="000F2DD1"/>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323C4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CFB1-304B-4B61-845B-EF978C756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1</Pages>
  <Words>371</Words>
  <Characters>2338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Hizman, Claudia</cp:lastModifiedBy>
  <cp:revision>6</cp:revision>
  <cp:lastPrinted>2022-04-19T11:26:00Z</cp:lastPrinted>
  <dcterms:created xsi:type="dcterms:W3CDTF">2022-11-23T08:20:00Z</dcterms:created>
  <dcterms:modified xsi:type="dcterms:W3CDTF">2023-02-07T08:15:00Z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FontProps">
    <vt:lpwstr>#ff0000,10,Calibri</vt:lpwstr>
  </property>
  <property fmtid="{D5CDD505-2E9C-101B-9397-08002B2CF9AE}" pid="3" name="ClassificationContentMarkingHeaderShapeIds">
    <vt:lpwstr>d,10,11</vt:lpwstr>
  </property>
  <property fmtid="{D5CDD505-2E9C-101B-9397-08002B2CF9AE}" pid="4" name="ClassificationContentMarkingHeaderText">
    <vt:lpwstr>Public</vt:lpwstr>
  </property>
  <property fmtid="{D5CDD505-2E9C-101B-9397-08002B2CF9AE}" pid="5" name="MSIP_Label_df1a195f-122b-42dc-a2d3-71a1903dcdac_ActionId">
    <vt:lpwstr>e84233d9-6b8a-4bf8-ab04-834edb678e18</vt:lpwstr>
  </property>
  <property fmtid="{D5CDD505-2E9C-101B-9397-08002B2CF9AE}" pid="6" name="MSIP_Label_df1a195f-122b-42dc-a2d3-71a1903dcdac_ContentBits">
    <vt:lpwstr>1</vt:lpwstr>
  </property>
  <property fmtid="{D5CDD505-2E9C-101B-9397-08002B2CF9AE}" pid="7" name="MSIP_Label_df1a195f-122b-42dc-a2d3-71a1903dcdac_Enabled">
    <vt:lpwstr>true</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etDate">
    <vt:lpwstr>2022-04-27T08:36:09Z</vt:lpwstr>
  </property>
  <property fmtid="{D5CDD505-2E9C-101B-9397-08002B2CF9AE}" pid="11" name="MSIP_Label_df1a195f-122b-42dc-a2d3-71a1903dcdac_SiteId">
    <vt:lpwstr>4aa45fee-62ee-49ff-a377-c53bd72cd986</vt:lpwstr>
  </property>
</Properties>
</file>