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D697C" w14:textId="77777777" w:rsidR="00A9565F" w:rsidRPr="003709A4" w:rsidRDefault="00F10B43" w:rsidP="004D2AB9">
      <w:pPr>
        <w:pStyle w:val="1RoadNews"/>
        <w:rPr>
          <w:rFonts w:ascii="Verdana" w:hAnsi="Verdana"/>
          <w:b/>
          <w:bCs/>
          <w:sz w:val="40"/>
          <w:szCs w:val="40"/>
          <w:lang w:val="en-GB"/>
        </w:rPr>
      </w:pPr>
      <w:bookmarkStart w:id="0" w:name="_Hlk117081588"/>
      <w:bookmarkEnd w:id="0"/>
      <w:r>
        <w:rPr>
          <w:rFonts w:ascii="Verdana" w:hAnsi="Verdana"/>
          <w:b/>
          <w:bCs/>
          <w:iCs w:val="0"/>
          <w:sz w:val="40"/>
          <w:szCs w:val="40"/>
          <w:lang w:val="es-ES"/>
        </w:rPr>
        <w:t xml:space="preserve">Kleemann | Nuevas cintas de vaciadero móviles MOBIBELT para una logística optimizada </w:t>
      </w:r>
    </w:p>
    <w:p w14:paraId="4354A545" w14:textId="77777777" w:rsidR="004D2AB9" w:rsidRPr="003709A4" w:rsidRDefault="004D2AB9" w:rsidP="004D2AB9">
      <w:pPr>
        <w:pStyle w:val="1RoadNews"/>
        <w:rPr>
          <w:b/>
          <w:iCs w:val="0"/>
          <w:lang w:val="en-GB"/>
        </w:rPr>
      </w:pPr>
    </w:p>
    <w:p w14:paraId="21551F23" w14:textId="77777777" w:rsidR="00A9565F" w:rsidRDefault="00F10B43" w:rsidP="00A9565F">
      <w:pPr>
        <w:jc w:val="both"/>
        <w:rPr>
          <w:rFonts w:eastAsiaTheme="majorEastAsia" w:cstheme="majorBidi"/>
          <w:b/>
          <w:color w:val="000000" w:themeColor="text1"/>
          <w:sz w:val="28"/>
          <w:szCs w:val="22"/>
        </w:rPr>
      </w:pPr>
      <w:r>
        <w:rPr>
          <w:rFonts w:eastAsiaTheme="majorEastAsia" w:cstheme="majorBidi"/>
          <w:b/>
          <w:bCs/>
          <w:color w:val="000000" w:themeColor="text1"/>
          <w:sz w:val="28"/>
          <w:szCs w:val="22"/>
          <w:lang w:val="es-ES"/>
        </w:rPr>
        <w:t>Procesos en la obra más flexibles</w:t>
      </w:r>
    </w:p>
    <w:p w14:paraId="599837BD" w14:textId="77777777" w:rsidR="00115EF6" w:rsidRPr="00A9565F" w:rsidRDefault="00115EF6" w:rsidP="00A9565F">
      <w:pPr>
        <w:jc w:val="both"/>
        <w:rPr>
          <w:rFonts w:eastAsiaTheme="majorEastAsia" w:cstheme="majorBidi"/>
          <w:bCs/>
          <w:color w:val="000000" w:themeColor="text1"/>
          <w:sz w:val="22"/>
          <w:szCs w:val="22"/>
        </w:rPr>
      </w:pPr>
    </w:p>
    <w:p w14:paraId="3F9F2613" w14:textId="77777777" w:rsidR="00DF708B" w:rsidRPr="003709A4" w:rsidRDefault="00F10B43" w:rsidP="00536D91">
      <w:pPr>
        <w:jc w:val="both"/>
        <w:rPr>
          <w:rFonts w:eastAsiaTheme="majorEastAsia" w:cstheme="majorBidi"/>
          <w:b/>
          <w:bCs/>
          <w:color w:val="000000" w:themeColor="text1"/>
          <w:sz w:val="22"/>
          <w:szCs w:val="22"/>
          <w:lang w:val="en-GB"/>
        </w:rPr>
      </w:pPr>
      <w:r>
        <w:rPr>
          <w:rFonts w:eastAsiaTheme="majorEastAsia" w:cstheme="majorBidi"/>
          <w:b/>
          <w:bCs/>
          <w:color w:val="000000" w:themeColor="text1"/>
          <w:sz w:val="22"/>
          <w:szCs w:val="22"/>
          <w:lang w:val="es-ES"/>
        </w:rPr>
        <w:t>Las cintas de vaciadero móviles MOBIBELT se emplean en obras de construcción para lograr procesos logísticos eficientes. Amplían de manera flexible el radio de acción de las instalaciones de machaqueo y cribado, de manera que proporcionan vaciaderos grandes y una logística de la obra perfeccionada.</w:t>
      </w:r>
    </w:p>
    <w:p w14:paraId="57848DA1" w14:textId="77777777" w:rsidR="00536D91" w:rsidRPr="003709A4" w:rsidRDefault="00536D91" w:rsidP="00536D91">
      <w:pPr>
        <w:jc w:val="both"/>
        <w:rPr>
          <w:rFonts w:eastAsiaTheme="majorEastAsia" w:cstheme="majorBidi"/>
          <w:b/>
          <w:bCs/>
          <w:color w:val="000000" w:themeColor="text1"/>
          <w:sz w:val="22"/>
          <w:szCs w:val="22"/>
          <w:lang w:val="en-GB"/>
        </w:rPr>
      </w:pPr>
    </w:p>
    <w:p w14:paraId="133A3474" w14:textId="77777777" w:rsidR="00115EF6" w:rsidRPr="003709A4" w:rsidRDefault="00F10B43" w:rsidP="0086560B">
      <w:pPr>
        <w:autoSpaceDE w:val="0"/>
        <w:autoSpaceDN w:val="0"/>
        <w:adjustRightInd w:val="0"/>
        <w:jc w:val="both"/>
        <w:rPr>
          <w:rStyle w:val="Hervorhebung"/>
          <w:b w:val="0"/>
          <w:sz w:val="22"/>
          <w:szCs w:val="22"/>
          <w:lang w:val="en-GB"/>
        </w:rPr>
      </w:pPr>
      <w:r>
        <w:rPr>
          <w:rStyle w:val="Hervorhebung"/>
          <w:b w:val="0"/>
          <w:iCs w:val="0"/>
          <w:sz w:val="22"/>
          <w:szCs w:val="22"/>
          <w:lang w:val="es-ES"/>
        </w:rPr>
        <w:t xml:space="preserve">Actualmente, las instalaciones de machaqueo y cribado modernas regulan los flujos de material dentro de la instalación de forma automática en la medida de lo posible. Sin embargo, los operarios de la máquina tienen una gran influencia en la calidad final del producto y el rendimiento diario. Pueden controlar el «input» con las excavadoras y las palas cargadoras y, por lo tanto, la carga de roca o material reciclado. Durante el «output», los operarios también desempeñan un papel fundamental: coordinan los productos finales mediante el acopio en los vaciaderos, el almacenamiento temporal y la carga. Con las nuevas cintas de vaciadero MOBIBELT MBT 20(i) y MBT 24(i) de Kleemann, la logística puede manejarse de manera flexible y adaptarse a una determinada situación. </w:t>
      </w:r>
    </w:p>
    <w:p w14:paraId="3AFB0D40" w14:textId="77777777" w:rsidR="00115EF6" w:rsidRPr="003709A4" w:rsidRDefault="00115EF6" w:rsidP="0086560B">
      <w:pPr>
        <w:autoSpaceDE w:val="0"/>
        <w:autoSpaceDN w:val="0"/>
        <w:adjustRightInd w:val="0"/>
        <w:jc w:val="both"/>
        <w:rPr>
          <w:rStyle w:val="Hervorhebung"/>
          <w:b w:val="0"/>
          <w:sz w:val="22"/>
          <w:szCs w:val="22"/>
          <w:lang w:val="en-GB"/>
        </w:rPr>
      </w:pPr>
    </w:p>
    <w:p w14:paraId="4C381230" w14:textId="77777777" w:rsidR="00DA0198" w:rsidRPr="003709A4" w:rsidRDefault="00F10B43" w:rsidP="00DA0198">
      <w:pPr>
        <w:autoSpaceDE w:val="0"/>
        <w:autoSpaceDN w:val="0"/>
        <w:adjustRightInd w:val="0"/>
        <w:rPr>
          <w:b/>
          <w:bCs/>
          <w:sz w:val="22"/>
          <w:szCs w:val="22"/>
          <w:lang w:val="en-GB"/>
        </w:rPr>
      </w:pPr>
      <w:r>
        <w:rPr>
          <w:b/>
          <w:bCs/>
          <w:sz w:val="22"/>
          <w:szCs w:val="22"/>
          <w:lang w:val="es-ES"/>
        </w:rPr>
        <w:t>Tiempos de preparación breves y elevadas capacidades de alimentación</w:t>
      </w:r>
    </w:p>
    <w:p w14:paraId="1E1E8F49" w14:textId="2F4C1729" w:rsidR="00DA0198" w:rsidRPr="003709A4" w:rsidRDefault="00F10B43" w:rsidP="00DA0198">
      <w:pPr>
        <w:autoSpaceDE w:val="0"/>
        <w:autoSpaceDN w:val="0"/>
        <w:adjustRightInd w:val="0"/>
        <w:jc w:val="both"/>
        <w:rPr>
          <w:sz w:val="22"/>
          <w:szCs w:val="22"/>
          <w:lang w:val="en-GB"/>
        </w:rPr>
      </w:pPr>
      <w:r>
        <w:rPr>
          <w:sz w:val="22"/>
          <w:szCs w:val="22"/>
          <w:lang w:val="es-ES"/>
        </w:rPr>
        <w:t>Ambas cintas de vaciadero están equipadas con una tolva de alimentación de 1,</w:t>
      </w:r>
      <w:r w:rsidR="00904EFA">
        <w:rPr>
          <w:sz w:val="22"/>
          <w:szCs w:val="22"/>
          <w:lang w:val="es-ES"/>
        </w:rPr>
        <w:t>25</w:t>
      </w:r>
      <w:r>
        <w:rPr>
          <w:sz w:val="22"/>
          <w:szCs w:val="22"/>
          <w:lang w:val="es-ES"/>
        </w:rPr>
        <w:t xml:space="preserve"> m³ de resistente KRS (Kleemann Resistant Steel), lo que permite alimentar sin problema material de carga con una longitud de aristas de hasta 200 mm. Una extensión de la tolva opcional de 2,5 m³ incluye adicionalmente una barra de impacto que evita que el material de carga golpee directamente la cinta transportadora, por lo que reduce el desgaste. La altura de alimentación y descarga ajustable hidráulicamente permite una configuración rápida. Además, las cintas de vaciadero se pueden utilizar de manera versátil detrás de las instalaciones de la criba y de machaqueo con distintas alturas de descarga.</w:t>
      </w:r>
    </w:p>
    <w:p w14:paraId="156BA0D0" w14:textId="77777777" w:rsidR="00DA0198" w:rsidRPr="003709A4" w:rsidRDefault="00DA0198" w:rsidP="00AD2A2A">
      <w:pPr>
        <w:autoSpaceDE w:val="0"/>
        <w:autoSpaceDN w:val="0"/>
        <w:adjustRightInd w:val="0"/>
        <w:jc w:val="both"/>
        <w:rPr>
          <w:rFonts w:eastAsiaTheme="majorEastAsia" w:cstheme="majorBidi"/>
          <w:bCs/>
          <w:color w:val="000000" w:themeColor="text1"/>
          <w:sz w:val="22"/>
          <w:szCs w:val="22"/>
          <w:lang w:val="en-GB"/>
        </w:rPr>
      </w:pPr>
    </w:p>
    <w:p w14:paraId="5D05155E" w14:textId="77777777" w:rsidR="001609A5" w:rsidRPr="003709A4" w:rsidRDefault="00F10B43" w:rsidP="001609A5">
      <w:pPr>
        <w:autoSpaceDE w:val="0"/>
        <w:autoSpaceDN w:val="0"/>
        <w:adjustRightInd w:val="0"/>
        <w:rPr>
          <w:b/>
          <w:bCs/>
          <w:sz w:val="22"/>
          <w:szCs w:val="22"/>
          <w:lang w:val="en-GB"/>
        </w:rPr>
      </w:pPr>
      <w:r>
        <w:rPr>
          <w:b/>
          <w:bCs/>
          <w:sz w:val="22"/>
          <w:szCs w:val="22"/>
          <w:lang w:val="es-ES"/>
        </w:rPr>
        <w:t xml:space="preserve">Manejo cómodo </w:t>
      </w:r>
    </w:p>
    <w:p w14:paraId="4D6EF68D" w14:textId="77777777" w:rsidR="00F10B43" w:rsidRDefault="00F10B43" w:rsidP="001609A5">
      <w:pPr>
        <w:autoSpaceDE w:val="0"/>
        <w:autoSpaceDN w:val="0"/>
        <w:adjustRightInd w:val="0"/>
        <w:jc w:val="both"/>
        <w:rPr>
          <w:sz w:val="22"/>
          <w:szCs w:val="22"/>
          <w:lang w:val="es-ES"/>
        </w:rPr>
      </w:pPr>
      <w:r>
        <w:rPr>
          <w:sz w:val="22"/>
          <w:szCs w:val="22"/>
          <w:lang w:val="es-ES"/>
        </w:rPr>
        <w:t xml:space="preserve">Si bien el manejo de las cintas de vaciadero móviles es menos complejo que el de las instalaciones de machaqueo, sigue siendo fácil y cómodo. Por eso, las MOBIBELT </w:t>
      </w:r>
    </w:p>
    <w:p w14:paraId="27118DC4" w14:textId="5805AAD8" w:rsidR="00822E90" w:rsidRDefault="00F10B43" w:rsidP="001609A5">
      <w:pPr>
        <w:autoSpaceDE w:val="0"/>
        <w:autoSpaceDN w:val="0"/>
        <w:adjustRightInd w:val="0"/>
        <w:jc w:val="both"/>
        <w:rPr>
          <w:sz w:val="22"/>
          <w:szCs w:val="22"/>
          <w:lang w:val="es-ES"/>
        </w:rPr>
      </w:pPr>
      <w:r>
        <w:rPr>
          <w:sz w:val="22"/>
          <w:szCs w:val="22"/>
          <w:lang w:val="es-ES"/>
        </w:rPr>
        <w:t>MBT 20(i) y MBT 24(i) disponen de un concepto de manejo SPECTIVE que permite manejar de manera intuitiva la máquina. Gracias a que están equipadas con un puesto de mando central, un manejo in situ y la posibilidad de ayuda para la resolución de problemas offline a través de SPECTIVE CONNECT, el operador recibirá asistencia cómodamente en su rutina diaria del trabajo.</w:t>
      </w:r>
    </w:p>
    <w:p w14:paraId="6BAA28CE" w14:textId="79EC537B" w:rsidR="003343C3" w:rsidRDefault="003343C3" w:rsidP="001609A5">
      <w:pPr>
        <w:autoSpaceDE w:val="0"/>
        <w:autoSpaceDN w:val="0"/>
        <w:adjustRightInd w:val="0"/>
        <w:jc w:val="both"/>
        <w:rPr>
          <w:sz w:val="22"/>
          <w:szCs w:val="22"/>
          <w:lang w:val="es-ES"/>
        </w:rPr>
      </w:pPr>
    </w:p>
    <w:p w14:paraId="7A4B7E35" w14:textId="3D35A014" w:rsidR="003343C3" w:rsidRDefault="003343C3" w:rsidP="001609A5">
      <w:pPr>
        <w:autoSpaceDE w:val="0"/>
        <w:autoSpaceDN w:val="0"/>
        <w:adjustRightInd w:val="0"/>
        <w:jc w:val="both"/>
        <w:rPr>
          <w:sz w:val="22"/>
          <w:szCs w:val="22"/>
          <w:lang w:val="es-ES"/>
        </w:rPr>
      </w:pPr>
    </w:p>
    <w:p w14:paraId="4D4AFD9A" w14:textId="50EFCAB8" w:rsidR="003343C3" w:rsidRDefault="003343C3" w:rsidP="001609A5">
      <w:pPr>
        <w:autoSpaceDE w:val="0"/>
        <w:autoSpaceDN w:val="0"/>
        <w:adjustRightInd w:val="0"/>
        <w:jc w:val="both"/>
        <w:rPr>
          <w:sz w:val="22"/>
          <w:szCs w:val="22"/>
          <w:lang w:val="es-ES"/>
        </w:rPr>
      </w:pPr>
    </w:p>
    <w:p w14:paraId="1A40E384" w14:textId="4664FD4B" w:rsidR="003343C3" w:rsidRDefault="003343C3" w:rsidP="001609A5">
      <w:pPr>
        <w:autoSpaceDE w:val="0"/>
        <w:autoSpaceDN w:val="0"/>
        <w:adjustRightInd w:val="0"/>
        <w:jc w:val="both"/>
        <w:rPr>
          <w:sz w:val="22"/>
          <w:szCs w:val="22"/>
          <w:lang w:val="es-ES"/>
        </w:rPr>
      </w:pPr>
    </w:p>
    <w:p w14:paraId="2B5604E2" w14:textId="1E061564" w:rsidR="003343C3" w:rsidRDefault="003343C3" w:rsidP="001609A5">
      <w:pPr>
        <w:autoSpaceDE w:val="0"/>
        <w:autoSpaceDN w:val="0"/>
        <w:adjustRightInd w:val="0"/>
        <w:jc w:val="both"/>
        <w:rPr>
          <w:sz w:val="22"/>
          <w:szCs w:val="22"/>
          <w:lang w:val="es-ES"/>
        </w:rPr>
      </w:pPr>
    </w:p>
    <w:p w14:paraId="6A6F5526" w14:textId="77777777" w:rsidR="003343C3" w:rsidRPr="003709A4" w:rsidRDefault="003343C3" w:rsidP="001609A5">
      <w:pPr>
        <w:autoSpaceDE w:val="0"/>
        <w:autoSpaceDN w:val="0"/>
        <w:adjustRightInd w:val="0"/>
        <w:jc w:val="both"/>
        <w:rPr>
          <w:sz w:val="22"/>
          <w:szCs w:val="22"/>
          <w:lang w:val="en-GB"/>
        </w:rPr>
      </w:pPr>
    </w:p>
    <w:p w14:paraId="777BFFC4" w14:textId="77777777" w:rsidR="00600D40" w:rsidRDefault="00F10B43" w:rsidP="003709A4">
      <w:pPr>
        <w:rPr>
          <w:b/>
        </w:rPr>
      </w:pPr>
      <w:r>
        <w:rPr>
          <w:rFonts w:eastAsia="Calibri" w:cs="Arial"/>
          <w:b/>
          <w:bCs/>
          <w:szCs w:val="22"/>
          <w:lang w:val="es-ES"/>
        </w:rPr>
        <w:lastRenderedPageBreak/>
        <w:t>Fotos:</w:t>
      </w:r>
    </w:p>
    <w:p w14:paraId="6B0FF657" w14:textId="77777777" w:rsidR="00D62ACD" w:rsidRDefault="00F10B43" w:rsidP="000E24F8">
      <w:pPr>
        <w:pStyle w:val="Text"/>
        <w:rPr>
          <w:b/>
          <w:color w:val="000000" w:themeColor="text1"/>
          <w:highlight w:val="yellow"/>
        </w:rPr>
      </w:pPr>
      <w:r>
        <w:rPr>
          <w:b/>
          <w:bCs/>
          <w:noProof/>
          <w:szCs w:val="22"/>
          <w:lang w:val="es-ES"/>
        </w:rPr>
        <w:drawing>
          <wp:inline distT="0" distB="0" distL="0" distR="0" wp14:anchorId="5D226705" wp14:editId="0BD718F7">
            <wp:extent cx="4229798" cy="30956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828236" name="Picture 3"/>
                    <pic:cNvPicPr>
                      <a:picLocks noChangeAspect="1" noChangeArrowheads="1"/>
                    </pic:cNvPicPr>
                  </pic:nvPicPr>
                  <pic:blipFill>
                    <a:blip r:embed="rId8" cstate="screen">
                      <a:extLst>
                        <a:ext uri="{28A0092B-C50C-407E-A947-70E740481C1C}">
                          <a14:useLocalDpi xmlns:a14="http://schemas.microsoft.com/office/drawing/2010/main" val="0"/>
                        </a:ext>
                      </a:extLst>
                    </a:blip>
                    <a:stretch>
                      <a:fillRect/>
                    </a:stretch>
                  </pic:blipFill>
                  <pic:spPr bwMode="auto">
                    <a:xfrm>
                      <a:off x="0" y="0"/>
                      <a:ext cx="4229798" cy="3095625"/>
                    </a:xfrm>
                    <a:prstGeom prst="rect">
                      <a:avLst/>
                    </a:prstGeom>
                    <a:noFill/>
                    <a:ln>
                      <a:noFill/>
                    </a:ln>
                  </pic:spPr>
                </pic:pic>
              </a:graphicData>
            </a:graphic>
          </wp:inline>
        </w:drawing>
      </w:r>
    </w:p>
    <w:p w14:paraId="5E6A566C" w14:textId="77777777" w:rsidR="00C42C59" w:rsidRPr="002D1DBD" w:rsidRDefault="00C42C59" w:rsidP="000E24F8">
      <w:pPr>
        <w:pStyle w:val="Text"/>
        <w:rPr>
          <w:b/>
          <w:color w:val="000000" w:themeColor="text1"/>
        </w:rPr>
      </w:pPr>
    </w:p>
    <w:p w14:paraId="30825FF3" w14:textId="77777777" w:rsidR="00600D40" w:rsidRPr="003709A4" w:rsidRDefault="00F10B43" w:rsidP="00600D40">
      <w:pPr>
        <w:autoSpaceDE w:val="0"/>
        <w:autoSpaceDN w:val="0"/>
        <w:adjustRightInd w:val="0"/>
        <w:rPr>
          <w:rFonts w:eastAsia="MS Mincho"/>
          <w:b/>
          <w:sz w:val="20"/>
          <w:szCs w:val="24"/>
          <w:lang w:val="en-GB"/>
        </w:rPr>
      </w:pPr>
      <w:r>
        <w:rPr>
          <w:rFonts w:eastAsia="MS Mincho"/>
          <w:b/>
          <w:bCs/>
          <w:sz w:val="20"/>
          <w:szCs w:val="24"/>
          <w:lang w:val="es-ES"/>
        </w:rPr>
        <w:t xml:space="preserve">KL_MOBIBELT 24i </w:t>
      </w:r>
    </w:p>
    <w:p w14:paraId="14A7CAA4" w14:textId="77777777" w:rsidR="00E46319" w:rsidRPr="003709A4" w:rsidRDefault="00F10B43" w:rsidP="00E46319">
      <w:pPr>
        <w:pStyle w:val="Text"/>
        <w:rPr>
          <w:b/>
          <w:color w:val="000000" w:themeColor="text1"/>
          <w:lang w:val="en-GB"/>
        </w:rPr>
      </w:pPr>
      <w:r>
        <w:rPr>
          <w:color w:val="000000" w:themeColor="text1"/>
          <w:sz w:val="20"/>
          <w:szCs w:val="14"/>
          <w:lang w:val="es-ES"/>
        </w:rPr>
        <w:t xml:space="preserve">Las cintas de vaciadero móviles MOBIBELT MBT 20(i) y MBT 24(i) de Kleemann proporcionan vaciaderos grandes y una logística de la obra perfeccionada. </w:t>
      </w:r>
    </w:p>
    <w:p w14:paraId="0415B57F" w14:textId="77777777" w:rsidR="00091312" w:rsidRPr="003709A4" w:rsidRDefault="00091312" w:rsidP="000E24F8">
      <w:pPr>
        <w:pStyle w:val="Text"/>
        <w:rPr>
          <w:b/>
          <w:color w:val="000000" w:themeColor="text1"/>
          <w:lang w:val="en-GB"/>
        </w:rPr>
      </w:pPr>
    </w:p>
    <w:p w14:paraId="4FE07A4A" w14:textId="77777777" w:rsidR="00E46319" w:rsidRPr="003709A4" w:rsidRDefault="00E46319" w:rsidP="000E24F8">
      <w:pPr>
        <w:pStyle w:val="Text"/>
        <w:rPr>
          <w:b/>
          <w:color w:val="000000" w:themeColor="text1"/>
          <w:lang w:val="en-GB"/>
        </w:rPr>
      </w:pPr>
    </w:p>
    <w:p w14:paraId="71C048B7" w14:textId="77777777" w:rsidR="008755E5" w:rsidRPr="003709A4" w:rsidRDefault="00F10B43" w:rsidP="008755E5">
      <w:pPr>
        <w:pStyle w:val="Text"/>
        <w:rPr>
          <w:lang w:val="es-ES"/>
        </w:rPr>
      </w:pPr>
      <w:r>
        <w:rPr>
          <w:i/>
          <w:iCs/>
          <w:u w:val="single"/>
          <w:lang w:val="es-ES"/>
        </w:rPr>
        <w:t>Nota:</w:t>
      </w:r>
      <w:r>
        <w:rPr>
          <w:i/>
          <w:iCs/>
          <w:lang w:val="es-ES"/>
        </w:rPr>
        <w:t xml:space="preserve"> Esta foto sirve únicamente para fines de vista previa. Para la impresión en publicaciones, se debe emplear la foto en una resolución de 300 dpi, que está disponible para su descarga en la página web de Wirtgen Group.</w:t>
      </w:r>
    </w:p>
    <w:p w14:paraId="78B27A88" w14:textId="77777777" w:rsidR="008755E5" w:rsidRPr="003709A4" w:rsidRDefault="008755E5" w:rsidP="00690D7C">
      <w:pPr>
        <w:rPr>
          <w:sz w:val="22"/>
          <w:lang w:val="es-ES"/>
        </w:rPr>
      </w:pPr>
    </w:p>
    <w:p w14:paraId="72139C87" w14:textId="77777777" w:rsidR="008755E5" w:rsidRPr="003709A4" w:rsidRDefault="008755E5" w:rsidP="008755E5">
      <w:pPr>
        <w:pStyle w:val="Text"/>
        <w:rPr>
          <w:lang w:val="es-ES"/>
        </w:rPr>
      </w:pPr>
    </w:p>
    <w:tbl>
      <w:tblPr>
        <w:tblStyle w:val="Basic"/>
        <w:tblW w:w="0" w:type="auto"/>
        <w:tblLook w:val="04A0" w:firstRow="1" w:lastRow="0" w:firstColumn="1" w:lastColumn="0" w:noHBand="0" w:noVBand="1"/>
      </w:tblPr>
      <w:tblGrid>
        <w:gridCol w:w="4776"/>
        <w:gridCol w:w="4748"/>
      </w:tblGrid>
      <w:tr w:rsidR="00831CB2" w14:paraId="65974225"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7568E140" w14:textId="77777777" w:rsidR="008755E5" w:rsidRPr="00E04039" w:rsidRDefault="00F10B43" w:rsidP="008E7B5E">
            <w:pPr>
              <w:pStyle w:val="HeadlineKontakte"/>
            </w:pPr>
            <w:r>
              <w:rPr>
                <w:bCs/>
                <w:caps w:val="0"/>
                <w:szCs w:val="22"/>
                <w:lang w:val="es-ES"/>
              </w:rPr>
              <w:t>Encontrará más información</w:t>
            </w:r>
            <w:r>
              <w:rPr>
                <w:bCs/>
                <w:lang w:val="es-ES"/>
              </w:rPr>
              <w:t xml:space="preserve"> </w:t>
            </w:r>
          </w:p>
          <w:p w14:paraId="539637FB" w14:textId="77777777" w:rsidR="008755E5" w:rsidRPr="00E04039" w:rsidRDefault="00F10B43" w:rsidP="008E7B5E">
            <w:pPr>
              <w:pStyle w:val="HeadlineKontakte"/>
            </w:pPr>
            <w:r>
              <w:rPr>
                <w:bCs/>
                <w:caps w:val="0"/>
                <w:szCs w:val="22"/>
                <w:lang w:val="es-ES"/>
              </w:rPr>
              <w:t>en</w:t>
            </w:r>
            <w:r>
              <w:rPr>
                <w:bCs/>
                <w:lang w:val="es-ES"/>
              </w:rPr>
              <w:t>:</w:t>
            </w:r>
          </w:p>
          <w:p w14:paraId="44EE6908" w14:textId="77777777" w:rsidR="008755E5" w:rsidRPr="00E04039" w:rsidRDefault="00F10B43" w:rsidP="008E7B5E">
            <w:pPr>
              <w:pStyle w:val="Text"/>
            </w:pPr>
            <w:r>
              <w:rPr>
                <w:lang w:val="es-ES"/>
              </w:rPr>
              <w:t>WIRTGEN GROUP</w:t>
            </w:r>
          </w:p>
          <w:p w14:paraId="09403160" w14:textId="77777777" w:rsidR="008755E5" w:rsidRPr="00E04039" w:rsidRDefault="00F10B43" w:rsidP="008E7B5E">
            <w:pPr>
              <w:pStyle w:val="Text"/>
            </w:pPr>
            <w:r>
              <w:rPr>
                <w:lang w:val="es-ES"/>
              </w:rPr>
              <w:t>Public Relations</w:t>
            </w:r>
          </w:p>
          <w:p w14:paraId="7EB2DEB4" w14:textId="77777777" w:rsidR="008755E5" w:rsidRPr="00E04039" w:rsidRDefault="00F10B43" w:rsidP="008E7B5E">
            <w:pPr>
              <w:pStyle w:val="Text"/>
            </w:pPr>
            <w:r>
              <w:rPr>
                <w:lang w:val="es-ES"/>
              </w:rPr>
              <w:t>Reinhard-Wirtgen-Straße 2</w:t>
            </w:r>
          </w:p>
          <w:p w14:paraId="2F168D63" w14:textId="77777777" w:rsidR="008755E5" w:rsidRPr="003709A4" w:rsidRDefault="00F10B43" w:rsidP="008E7B5E">
            <w:pPr>
              <w:pStyle w:val="Text"/>
              <w:rPr>
                <w:lang w:val="en-GB"/>
              </w:rPr>
            </w:pPr>
            <w:r>
              <w:rPr>
                <w:lang w:val="es-ES"/>
              </w:rPr>
              <w:t>53578 Windhagen</w:t>
            </w:r>
          </w:p>
          <w:p w14:paraId="0F3ADB52" w14:textId="77777777" w:rsidR="008755E5" w:rsidRPr="003709A4" w:rsidRDefault="00F10B43" w:rsidP="008E7B5E">
            <w:pPr>
              <w:pStyle w:val="Text"/>
              <w:rPr>
                <w:lang w:val="en-GB"/>
              </w:rPr>
            </w:pPr>
            <w:r>
              <w:rPr>
                <w:lang w:val="es-ES"/>
              </w:rPr>
              <w:t>Alemania</w:t>
            </w:r>
          </w:p>
          <w:p w14:paraId="5FFC8FC9" w14:textId="77777777" w:rsidR="008755E5" w:rsidRPr="003709A4" w:rsidRDefault="008755E5" w:rsidP="008E7B5E">
            <w:pPr>
              <w:pStyle w:val="Text"/>
              <w:rPr>
                <w:lang w:val="en-GB"/>
              </w:rPr>
            </w:pPr>
          </w:p>
          <w:p w14:paraId="7724F84B" w14:textId="77777777" w:rsidR="002603EC" w:rsidRPr="003709A4" w:rsidRDefault="00F10B43" w:rsidP="008E7B5E">
            <w:pPr>
              <w:pStyle w:val="Text"/>
              <w:rPr>
                <w:color w:val="000000" w:themeColor="text1"/>
                <w:lang w:val="en-GB"/>
              </w:rPr>
            </w:pPr>
            <w:r>
              <w:rPr>
                <w:lang w:val="es-ES"/>
              </w:rPr>
              <w:t xml:space="preserve">Teléfono: +49 (0) 2645 131 </w:t>
            </w:r>
            <w:r>
              <w:rPr>
                <w:color w:val="000000" w:themeColor="text1"/>
                <w:lang w:val="es-ES"/>
              </w:rPr>
              <w:t xml:space="preserve">– 1966 </w:t>
            </w:r>
          </w:p>
          <w:p w14:paraId="60565320" w14:textId="77777777" w:rsidR="008755E5" w:rsidRPr="003709A4" w:rsidRDefault="00F10B43" w:rsidP="008E7B5E">
            <w:pPr>
              <w:pStyle w:val="Text"/>
              <w:rPr>
                <w:lang w:val="en-GB"/>
              </w:rPr>
            </w:pPr>
            <w:r>
              <w:rPr>
                <w:lang w:val="es-ES"/>
              </w:rPr>
              <w:t>Telefax: +49 (0) 2645 131 – 499</w:t>
            </w:r>
          </w:p>
          <w:p w14:paraId="6ABFD275" w14:textId="77777777" w:rsidR="008755E5" w:rsidRPr="003709A4" w:rsidRDefault="00F10B43" w:rsidP="008E7B5E">
            <w:pPr>
              <w:pStyle w:val="Text"/>
              <w:rPr>
                <w:lang w:val="en-GB"/>
              </w:rPr>
            </w:pPr>
            <w:r>
              <w:rPr>
                <w:lang w:val="es-ES"/>
              </w:rPr>
              <w:t>Correo electrónico: PR@wirtgen-group.com</w:t>
            </w:r>
          </w:p>
          <w:p w14:paraId="5BF9B88E" w14:textId="77777777" w:rsidR="002D2EE5" w:rsidRPr="00407E4E" w:rsidRDefault="00F10B43" w:rsidP="008E7B5E">
            <w:pPr>
              <w:pStyle w:val="Text"/>
            </w:pPr>
            <w:r>
              <w:rPr>
                <w:lang w:val="es-ES"/>
              </w:rPr>
              <w:t>www.wirtgen-group.com</w:t>
            </w:r>
          </w:p>
        </w:tc>
        <w:tc>
          <w:tcPr>
            <w:tcW w:w="4832" w:type="dxa"/>
            <w:tcBorders>
              <w:left w:val="single" w:sz="48" w:space="0" w:color="FFFFFF" w:themeColor="background1"/>
            </w:tcBorders>
          </w:tcPr>
          <w:p w14:paraId="162A0890" w14:textId="77777777" w:rsidR="008755E5" w:rsidRPr="00E04039" w:rsidRDefault="008755E5" w:rsidP="008E7B5E">
            <w:pPr>
              <w:pStyle w:val="Text"/>
            </w:pPr>
          </w:p>
        </w:tc>
      </w:tr>
    </w:tbl>
    <w:p w14:paraId="76D16A5E" w14:textId="77777777" w:rsidR="00696417" w:rsidRDefault="00696417" w:rsidP="00696417">
      <w:pPr>
        <w:spacing w:line="280" w:lineRule="atLeast"/>
        <w:jc w:val="both"/>
      </w:pPr>
    </w:p>
    <w:p w14:paraId="5AEA8BB0" w14:textId="77777777" w:rsidR="009E470F" w:rsidRDefault="009E470F" w:rsidP="00696417">
      <w:pPr>
        <w:spacing w:line="280" w:lineRule="atLeast"/>
        <w:jc w:val="both"/>
      </w:pPr>
    </w:p>
    <w:p w14:paraId="72FDBC5F" w14:textId="77777777" w:rsidR="009E470F" w:rsidRDefault="009E470F" w:rsidP="00696417">
      <w:pPr>
        <w:spacing w:line="280" w:lineRule="atLeast"/>
        <w:jc w:val="both"/>
      </w:pPr>
    </w:p>
    <w:p w14:paraId="0B3075C3" w14:textId="77777777" w:rsidR="009E470F" w:rsidRDefault="009E470F" w:rsidP="00696417">
      <w:pPr>
        <w:spacing w:line="280" w:lineRule="atLeast"/>
        <w:jc w:val="both"/>
      </w:pPr>
    </w:p>
    <w:sectPr w:rsidR="009E470F"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5EDB6" w14:textId="77777777" w:rsidR="00B3481E" w:rsidRDefault="00B3481E">
      <w:r>
        <w:separator/>
      </w:r>
    </w:p>
  </w:endnote>
  <w:endnote w:type="continuationSeparator" w:id="0">
    <w:p w14:paraId="219C2811" w14:textId="77777777" w:rsidR="00B3481E" w:rsidRDefault="00B34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1F7FF" w14:textId="77777777" w:rsidR="00A40E62" w:rsidRDefault="00A40E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831CB2" w14:paraId="790EBED7" w14:textId="77777777" w:rsidTr="00723F4F">
      <w:trPr>
        <w:trHeight w:hRule="exact" w:val="227"/>
      </w:trPr>
      <w:tc>
        <w:tcPr>
          <w:tcW w:w="8364" w:type="dxa"/>
          <w:shd w:val="clear" w:color="auto" w:fill="auto"/>
        </w:tcPr>
        <w:p w14:paraId="64BD2CF7" w14:textId="77777777" w:rsidR="00533132" w:rsidRPr="00723F4F" w:rsidRDefault="00F10B43" w:rsidP="00723F4F">
          <w:pPr>
            <w:pStyle w:val="Kolumnentitel"/>
            <w:rPr>
              <w:szCs w:val="20"/>
            </w:rPr>
          </w:pPr>
          <w:r>
            <w:rPr>
              <w:rStyle w:val="MittleresRaster11"/>
              <w:szCs w:val="20"/>
              <w:lang w:val="es-ES"/>
            </w:rPr>
            <w:t xml:space="preserve">     </w:t>
          </w:r>
        </w:p>
      </w:tc>
      <w:tc>
        <w:tcPr>
          <w:tcW w:w="1160" w:type="dxa"/>
          <w:shd w:val="clear" w:color="auto" w:fill="auto"/>
        </w:tcPr>
        <w:p w14:paraId="4872D97F" w14:textId="77777777" w:rsidR="00533132" w:rsidRPr="00723F4F" w:rsidRDefault="00F10B43"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45BC38EA" w14:textId="77777777" w:rsidR="00533132" w:rsidRDefault="00F10B43">
    <w:pPr>
      <w:pStyle w:val="Fuzeile"/>
    </w:pPr>
    <w:r>
      <w:rPr>
        <w:noProof/>
        <w:lang w:val="es-ES"/>
      </w:rPr>
      <mc:AlternateContent>
        <mc:Choice Requires="wps">
          <w:drawing>
            <wp:anchor distT="0" distB="0" distL="114300" distR="114300" simplePos="0" relativeHeight="251664384" behindDoc="0" locked="0" layoutInCell="1" allowOverlap="1" wp14:anchorId="1013FEAD" wp14:editId="6A1DDC5B">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12" o:spid="_x0000_s2051" style="width:476.2pt;height:1.4pt;margin-top:802.3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5408" fillcolor="#41535d" stroked="f" strokeweight="2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831CB2" w14:paraId="3CF3AE3F" w14:textId="77777777" w:rsidTr="00723F4F">
      <w:tc>
        <w:tcPr>
          <w:tcW w:w="9664" w:type="dxa"/>
          <w:shd w:val="clear" w:color="auto" w:fill="auto"/>
        </w:tcPr>
        <w:p w14:paraId="4B84B3D4" w14:textId="77777777" w:rsidR="00533132" w:rsidRPr="00723F4F" w:rsidRDefault="00F10B43"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6B7085BE" w14:textId="77777777" w:rsidR="00533132" w:rsidRDefault="00F10B43">
    <w:pPr>
      <w:pStyle w:val="Fuzeile"/>
    </w:pPr>
    <w:r>
      <w:rPr>
        <w:noProof/>
        <w:lang w:val="es-ES"/>
      </w:rPr>
      <mc:AlternateContent>
        <mc:Choice Requires="wps">
          <w:drawing>
            <wp:anchor distT="0" distB="0" distL="114300" distR="114300" simplePos="0" relativeHeight="251662336" behindDoc="0" locked="0" layoutInCell="1" allowOverlap="1" wp14:anchorId="3D18D7F9" wp14:editId="7D224E0F">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6" o:spid="_x0000_s2054" style="width:476.2pt;height:1.4pt;margin-top:793.8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3360" fillcolor="#41535d"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40F48" w14:textId="77777777" w:rsidR="00B3481E" w:rsidRDefault="00B3481E">
      <w:r>
        <w:separator/>
      </w:r>
    </w:p>
  </w:footnote>
  <w:footnote w:type="continuationSeparator" w:id="0">
    <w:p w14:paraId="15621F54" w14:textId="77777777" w:rsidR="00B3481E" w:rsidRDefault="00B34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11FBF" w14:textId="77777777" w:rsidR="00A40E62" w:rsidRDefault="00F10B43">
    <w:pPr>
      <w:pStyle w:val="Kopfzeile"/>
    </w:pPr>
    <w:r>
      <w:rPr>
        <w:noProof/>
        <w:lang w:val="es-ES"/>
      </w:rPr>
      <mc:AlternateContent>
        <mc:Choice Requires="wps">
          <w:drawing>
            <wp:anchor distT="0" distB="0" distL="0" distR="0" simplePos="0" relativeHeight="251669504" behindDoc="0" locked="0" layoutInCell="1" allowOverlap="1" wp14:anchorId="023AECB1" wp14:editId="2997042A">
              <wp:simplePos x="0" y="0"/>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8199727" w14:textId="77777777" w:rsidR="00696417" w:rsidRPr="00696417" w:rsidRDefault="00F10B43">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6" o:spid="_x0000_s2049"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70528" filled="f" stroked="f">
              <v:textbox style="mso-fit-shape-to-text:t" inset="0,0,15pt,0">
                <w:txbxContent>
                  <w:p w:rsidR="00696417" w:rsidRPr="00696417" w14:paraId="69D6B6CF" w14:textId="6D301FE1">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4F42" w14:textId="77777777" w:rsidR="00533132" w:rsidRPr="00533132" w:rsidRDefault="00F10B43" w:rsidP="00533132">
    <w:pPr>
      <w:pStyle w:val="Kopfzeile"/>
    </w:pPr>
    <w:r>
      <w:rPr>
        <w:noProof/>
        <w:lang w:val="es-ES"/>
      </w:rPr>
      <mc:AlternateContent>
        <mc:Choice Requires="wps">
          <w:drawing>
            <wp:anchor distT="0" distB="0" distL="0" distR="0" simplePos="0" relativeHeight="251671552" behindDoc="0" locked="0" layoutInCell="1" allowOverlap="1" wp14:anchorId="21878C24" wp14:editId="6817F321">
              <wp:simplePos x="0" y="0"/>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837DAE" w14:textId="77777777" w:rsidR="00696417" w:rsidRPr="00696417" w:rsidRDefault="00F10B43">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7" o:spid="_x0000_s2050"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72576" filled="f" stroked="f">
              <v:textbox style="mso-fit-shape-to-text:t" inset="0,0,15pt,0">
                <w:txbxContent>
                  <w:p w:rsidR="00696417" w:rsidRPr="00696417" w14:paraId="11BB04F5" w14:textId="4EB9F748">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v:shape>
          </w:pict>
        </mc:Fallback>
      </mc:AlternateContent>
    </w:r>
    <w:r>
      <w:rPr>
        <w:noProof/>
        <w:lang w:val="es-ES"/>
      </w:rPr>
      <w:drawing>
        <wp:anchor distT="0" distB="0" distL="114300" distR="114300" simplePos="0" relativeHeight="251666432" behindDoc="1" locked="0" layoutInCell="1" allowOverlap="1" wp14:anchorId="79D71FB6" wp14:editId="4CE88A7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498921"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7E3A6" w14:textId="77777777" w:rsidR="00533132" w:rsidRDefault="00F10B43">
    <w:pPr>
      <w:pStyle w:val="Kopfzeile"/>
    </w:pPr>
    <w:r>
      <w:rPr>
        <w:noProof/>
        <w:lang w:val="es-ES"/>
      </w:rPr>
      <mc:AlternateContent>
        <mc:Choice Requires="wps">
          <w:drawing>
            <wp:anchor distT="0" distB="0" distL="0" distR="0" simplePos="0" relativeHeight="251667456" behindDoc="0" locked="0" layoutInCell="1" allowOverlap="1" wp14:anchorId="169B8107" wp14:editId="66B1A795">
              <wp:simplePos x="0" y="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B0905C" w14:textId="77777777" w:rsidR="00696417" w:rsidRPr="00696417" w:rsidRDefault="00F10B43">
                          <w:pPr>
                            <w:rPr>
                              <w:rFonts w:ascii="Calibri" w:eastAsia="Calibri" w:hAnsi="Calibri" w:cs="Calibri"/>
                              <w:color w:val="FF0000"/>
                              <w:sz w:val="20"/>
                              <w:szCs w:val="20"/>
                            </w:rPr>
                          </w:pPr>
                          <w:r>
                            <w:rPr>
                              <w:rFonts w:ascii="Calibri" w:eastAsia="Calibri" w:hAnsi="Calibri" w:cs="Calibri"/>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2052"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8480" filled="f" stroked="f">
              <v:textbox style="mso-fit-shape-to-text:t" inset="0,0,15pt,0">
                <w:txbxContent>
                  <w:p w:rsidR="00696417" w:rsidRPr="00696417" w14:paraId="3D7D0B2E" w14:textId="0122BF21">
                    <w:pPr>
                      <w:rPr>
                        <w:rFonts w:ascii="Calibri" w:eastAsia="Calibri" w:hAnsi="Calibri" w:cs="Calibri"/>
                        <w:color w:val="FF0000"/>
                        <w:sz w:val="20"/>
                        <w:szCs w:val="20"/>
                      </w:rPr>
                      <w:bidi w:val="0"/>
                    </w:pPr>
                    <w:r>
                      <w:rPr>
                        <w:rFonts w:ascii="Calibri" w:cs="Calibri" w:eastAsia="Calibri" w:hAnsi="Calibri"/>
                        <w:color w:val="FF0000"/>
                        <w:sz w:val="20"/>
                        <w:szCs w:val="20"/>
                        <w:lang w:val="es-es"/>
                        <w:b w:val="0"/>
                        <w:bCs w:val="0"/>
                        <w:i w:val="0"/>
                        <w:iCs w:val="0"/>
                        <w:u w:val="none"/>
                        <w:vertAlign w:val="baseline"/>
                        <w:rtl w:val="0"/>
                      </w:rPr>
                      <w:t xml:space="preserve">Public</w:t>
                    </w:r>
                  </w:p>
                </w:txbxContent>
              </v:textbox>
              <w10:wrap type="square"/>
            </v:shape>
          </w:pict>
        </mc:Fallback>
      </mc:AlternateContent>
    </w:r>
    <w:r>
      <w:rPr>
        <w:noProof/>
        <w:lang w:val="es-ES"/>
      </w:rPr>
      <mc:AlternateContent>
        <mc:Choice Requires="wps">
          <w:drawing>
            <wp:anchor distT="0" distB="0" distL="114300" distR="114300" simplePos="0" relativeHeight="251660288" behindDoc="0" locked="0" layoutInCell="1" allowOverlap="1" wp14:anchorId="4876E841" wp14:editId="14B8D963">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5" o:spid="_x0000_s2053" style="width:476.2pt;height:2.85pt;margin-top:73.7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r>
      <w:rPr>
        <w:noProof/>
        <w:lang w:val="es-ES"/>
      </w:rPr>
      <w:drawing>
        <wp:anchor distT="0" distB="0" distL="114300" distR="114300" simplePos="0" relativeHeight="251659264" behindDoc="0" locked="0" layoutInCell="1" allowOverlap="1" wp14:anchorId="1278614A" wp14:editId="2F3921CF">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988168"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8240" behindDoc="0" locked="0" layoutInCell="1" allowOverlap="1" wp14:anchorId="3DD2D871" wp14:editId="5CC64383">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43909" name="Grafi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1500pt;height:1500pt" o:bullet="t">
        <v:imagedata r:id="rId1" o:title="AZ_04a"/>
      </v:shape>
    </w:pict>
  </w:numPicBullet>
  <w:numPicBullet w:numPicBulletId="1">
    <w:pict>
      <v:shape id="_x0000_i110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8B5CEB74">
      <w:numFmt w:val="bullet"/>
      <w:lvlText w:val=""/>
      <w:lvlJc w:val="left"/>
      <w:pPr>
        <w:ind w:left="720" w:hanging="360"/>
      </w:pPr>
      <w:rPr>
        <w:rFonts w:ascii="Wingdings" w:eastAsiaTheme="minorHAnsi" w:hAnsi="Wingdings" w:cstheme="minorBidi" w:hint="default"/>
      </w:rPr>
    </w:lvl>
    <w:lvl w:ilvl="1" w:tplc="6FD4A24E" w:tentative="1">
      <w:start w:val="1"/>
      <w:numFmt w:val="bullet"/>
      <w:lvlText w:val="o"/>
      <w:lvlJc w:val="left"/>
      <w:pPr>
        <w:ind w:left="1440" w:hanging="360"/>
      </w:pPr>
      <w:rPr>
        <w:rFonts w:ascii="Courier New" w:hAnsi="Courier New" w:cs="Courier New" w:hint="default"/>
      </w:rPr>
    </w:lvl>
    <w:lvl w:ilvl="2" w:tplc="287C756A" w:tentative="1">
      <w:start w:val="1"/>
      <w:numFmt w:val="bullet"/>
      <w:lvlText w:val=""/>
      <w:lvlJc w:val="left"/>
      <w:pPr>
        <w:ind w:left="2160" w:hanging="360"/>
      </w:pPr>
      <w:rPr>
        <w:rFonts w:ascii="Wingdings" w:hAnsi="Wingdings" w:hint="default"/>
      </w:rPr>
    </w:lvl>
    <w:lvl w:ilvl="3" w:tplc="F2B24AD4" w:tentative="1">
      <w:start w:val="1"/>
      <w:numFmt w:val="bullet"/>
      <w:lvlText w:val=""/>
      <w:lvlJc w:val="left"/>
      <w:pPr>
        <w:ind w:left="2880" w:hanging="360"/>
      </w:pPr>
      <w:rPr>
        <w:rFonts w:ascii="Symbol" w:hAnsi="Symbol" w:hint="default"/>
      </w:rPr>
    </w:lvl>
    <w:lvl w:ilvl="4" w:tplc="339A1E50" w:tentative="1">
      <w:start w:val="1"/>
      <w:numFmt w:val="bullet"/>
      <w:lvlText w:val="o"/>
      <w:lvlJc w:val="left"/>
      <w:pPr>
        <w:ind w:left="3600" w:hanging="360"/>
      </w:pPr>
      <w:rPr>
        <w:rFonts w:ascii="Courier New" w:hAnsi="Courier New" w:cs="Courier New" w:hint="default"/>
      </w:rPr>
    </w:lvl>
    <w:lvl w:ilvl="5" w:tplc="47B2DB96" w:tentative="1">
      <w:start w:val="1"/>
      <w:numFmt w:val="bullet"/>
      <w:lvlText w:val=""/>
      <w:lvlJc w:val="left"/>
      <w:pPr>
        <w:ind w:left="4320" w:hanging="360"/>
      </w:pPr>
      <w:rPr>
        <w:rFonts w:ascii="Wingdings" w:hAnsi="Wingdings" w:hint="default"/>
      </w:rPr>
    </w:lvl>
    <w:lvl w:ilvl="6" w:tplc="C9FA1E44" w:tentative="1">
      <w:start w:val="1"/>
      <w:numFmt w:val="bullet"/>
      <w:lvlText w:val=""/>
      <w:lvlJc w:val="left"/>
      <w:pPr>
        <w:ind w:left="5040" w:hanging="360"/>
      </w:pPr>
      <w:rPr>
        <w:rFonts w:ascii="Symbol" w:hAnsi="Symbol" w:hint="default"/>
      </w:rPr>
    </w:lvl>
    <w:lvl w:ilvl="7" w:tplc="7C6E060E" w:tentative="1">
      <w:start w:val="1"/>
      <w:numFmt w:val="bullet"/>
      <w:lvlText w:val="o"/>
      <w:lvlJc w:val="left"/>
      <w:pPr>
        <w:ind w:left="5760" w:hanging="360"/>
      </w:pPr>
      <w:rPr>
        <w:rFonts w:ascii="Courier New" w:hAnsi="Courier New" w:cs="Courier New" w:hint="default"/>
      </w:rPr>
    </w:lvl>
    <w:lvl w:ilvl="8" w:tplc="9FC6F4A6"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00736930">
    <w:abstractNumId w:val="9"/>
  </w:num>
  <w:num w:numId="2" w16cid:durableId="1056662744">
    <w:abstractNumId w:val="9"/>
  </w:num>
  <w:num w:numId="3" w16cid:durableId="703600043">
    <w:abstractNumId w:val="9"/>
  </w:num>
  <w:num w:numId="4" w16cid:durableId="681131674">
    <w:abstractNumId w:val="9"/>
  </w:num>
  <w:num w:numId="5" w16cid:durableId="1302691158">
    <w:abstractNumId w:val="9"/>
  </w:num>
  <w:num w:numId="6" w16cid:durableId="1902594669">
    <w:abstractNumId w:val="2"/>
  </w:num>
  <w:num w:numId="7" w16cid:durableId="863633852">
    <w:abstractNumId w:val="2"/>
  </w:num>
  <w:num w:numId="8" w16cid:durableId="2078167668">
    <w:abstractNumId w:val="2"/>
  </w:num>
  <w:num w:numId="9" w16cid:durableId="697045371">
    <w:abstractNumId w:val="2"/>
  </w:num>
  <w:num w:numId="10" w16cid:durableId="565800260">
    <w:abstractNumId w:val="2"/>
  </w:num>
  <w:num w:numId="11" w16cid:durableId="1623341190">
    <w:abstractNumId w:val="5"/>
  </w:num>
  <w:num w:numId="12" w16cid:durableId="874854540">
    <w:abstractNumId w:val="5"/>
  </w:num>
  <w:num w:numId="13" w16cid:durableId="862982006">
    <w:abstractNumId w:val="4"/>
  </w:num>
  <w:num w:numId="14" w16cid:durableId="442454751">
    <w:abstractNumId w:val="4"/>
  </w:num>
  <w:num w:numId="15" w16cid:durableId="1028263445">
    <w:abstractNumId w:val="4"/>
  </w:num>
  <w:num w:numId="16" w16cid:durableId="731538321">
    <w:abstractNumId w:val="4"/>
  </w:num>
  <w:num w:numId="17" w16cid:durableId="1178277608">
    <w:abstractNumId w:val="4"/>
  </w:num>
  <w:num w:numId="18" w16cid:durableId="1474563060">
    <w:abstractNumId w:val="1"/>
  </w:num>
  <w:num w:numId="19" w16cid:durableId="1913418776">
    <w:abstractNumId w:val="3"/>
  </w:num>
  <w:num w:numId="20" w16cid:durableId="1539201400">
    <w:abstractNumId w:val="8"/>
  </w:num>
  <w:num w:numId="21" w16cid:durableId="8169239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2594146">
    <w:abstractNumId w:val="0"/>
  </w:num>
  <w:num w:numId="23" w16cid:durableId="5487650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9552804">
    <w:abstractNumId w:val="6"/>
  </w:num>
  <w:num w:numId="25" w16cid:durableId="8688340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083425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35CE2"/>
    <w:rsid w:val="00040087"/>
    <w:rsid w:val="00042106"/>
    <w:rsid w:val="0004479F"/>
    <w:rsid w:val="0005285B"/>
    <w:rsid w:val="00055529"/>
    <w:rsid w:val="00066793"/>
    <w:rsid w:val="00066D09"/>
    <w:rsid w:val="0007706F"/>
    <w:rsid w:val="00077EA4"/>
    <w:rsid w:val="00091312"/>
    <w:rsid w:val="0009665C"/>
    <w:rsid w:val="000A36D9"/>
    <w:rsid w:val="000C692F"/>
    <w:rsid w:val="000D15C3"/>
    <w:rsid w:val="000D18FA"/>
    <w:rsid w:val="000E24F8"/>
    <w:rsid w:val="000E5738"/>
    <w:rsid w:val="000F2DD1"/>
    <w:rsid w:val="000F4FF6"/>
    <w:rsid w:val="00103205"/>
    <w:rsid w:val="001100DC"/>
    <w:rsid w:val="00115EF6"/>
    <w:rsid w:val="0011795C"/>
    <w:rsid w:val="001201DE"/>
    <w:rsid w:val="0012026F"/>
    <w:rsid w:val="00130601"/>
    <w:rsid w:val="00132055"/>
    <w:rsid w:val="00140BDD"/>
    <w:rsid w:val="00151530"/>
    <w:rsid w:val="001609A5"/>
    <w:rsid w:val="001613A6"/>
    <w:rsid w:val="001614F0"/>
    <w:rsid w:val="001616F4"/>
    <w:rsid w:val="00162F87"/>
    <w:rsid w:val="00164A78"/>
    <w:rsid w:val="001706D1"/>
    <w:rsid w:val="00177B3A"/>
    <w:rsid w:val="0018021A"/>
    <w:rsid w:val="001844A9"/>
    <w:rsid w:val="00194FB1"/>
    <w:rsid w:val="001A1DE8"/>
    <w:rsid w:val="001A6A9A"/>
    <w:rsid w:val="001A6BD8"/>
    <w:rsid w:val="001B16BB"/>
    <w:rsid w:val="001B5A7B"/>
    <w:rsid w:val="001C1A3E"/>
    <w:rsid w:val="001D0CB5"/>
    <w:rsid w:val="001E1AD1"/>
    <w:rsid w:val="001E50EC"/>
    <w:rsid w:val="00217B9D"/>
    <w:rsid w:val="002347A9"/>
    <w:rsid w:val="00250808"/>
    <w:rsid w:val="00253A2E"/>
    <w:rsid w:val="002603EC"/>
    <w:rsid w:val="00272351"/>
    <w:rsid w:val="00273634"/>
    <w:rsid w:val="00275BC2"/>
    <w:rsid w:val="002932E2"/>
    <w:rsid w:val="0029634D"/>
    <w:rsid w:val="002C7D0B"/>
    <w:rsid w:val="002D065C"/>
    <w:rsid w:val="002D0780"/>
    <w:rsid w:val="002D1DBD"/>
    <w:rsid w:val="002D2EE5"/>
    <w:rsid w:val="002E354E"/>
    <w:rsid w:val="002E765F"/>
    <w:rsid w:val="002F108B"/>
    <w:rsid w:val="002F4198"/>
    <w:rsid w:val="002F5818"/>
    <w:rsid w:val="0030316D"/>
    <w:rsid w:val="0032774C"/>
    <w:rsid w:val="00332B24"/>
    <w:rsid w:val="003343C3"/>
    <w:rsid w:val="0034191A"/>
    <w:rsid w:val="00343CC7"/>
    <w:rsid w:val="0036561D"/>
    <w:rsid w:val="003665BE"/>
    <w:rsid w:val="0036743C"/>
    <w:rsid w:val="003709A4"/>
    <w:rsid w:val="00384A08"/>
    <w:rsid w:val="00387A84"/>
    <w:rsid w:val="003967E5"/>
    <w:rsid w:val="003A753A"/>
    <w:rsid w:val="003E1CB6"/>
    <w:rsid w:val="003E3CF6"/>
    <w:rsid w:val="003E759F"/>
    <w:rsid w:val="003E7853"/>
    <w:rsid w:val="00400FD9"/>
    <w:rsid w:val="004016F7"/>
    <w:rsid w:val="00403373"/>
    <w:rsid w:val="00406C81"/>
    <w:rsid w:val="004074D6"/>
    <w:rsid w:val="00407E4E"/>
    <w:rsid w:val="00412545"/>
    <w:rsid w:val="004221A0"/>
    <w:rsid w:val="00426B30"/>
    <w:rsid w:val="00430098"/>
    <w:rsid w:val="00430BB0"/>
    <w:rsid w:val="00444835"/>
    <w:rsid w:val="00451363"/>
    <w:rsid w:val="004633C8"/>
    <w:rsid w:val="00476100"/>
    <w:rsid w:val="00487BFC"/>
    <w:rsid w:val="004B0B2D"/>
    <w:rsid w:val="004B6341"/>
    <w:rsid w:val="004C4563"/>
    <w:rsid w:val="004D23D0"/>
    <w:rsid w:val="004D2AB9"/>
    <w:rsid w:val="004D2BE0"/>
    <w:rsid w:val="004E4B60"/>
    <w:rsid w:val="004E6EF5"/>
    <w:rsid w:val="005040C9"/>
    <w:rsid w:val="00506409"/>
    <w:rsid w:val="005069F4"/>
    <w:rsid w:val="005217F1"/>
    <w:rsid w:val="00530E32"/>
    <w:rsid w:val="00533132"/>
    <w:rsid w:val="00536D91"/>
    <w:rsid w:val="00544DC2"/>
    <w:rsid w:val="005649F4"/>
    <w:rsid w:val="0056595A"/>
    <w:rsid w:val="005710C8"/>
    <w:rsid w:val="005711A3"/>
    <w:rsid w:val="00571A5C"/>
    <w:rsid w:val="00573B2B"/>
    <w:rsid w:val="005776E9"/>
    <w:rsid w:val="0058443C"/>
    <w:rsid w:val="005A06B5"/>
    <w:rsid w:val="005A4F04"/>
    <w:rsid w:val="005B5793"/>
    <w:rsid w:val="005D7DD7"/>
    <w:rsid w:val="00600D40"/>
    <w:rsid w:val="0060303F"/>
    <w:rsid w:val="00605DF2"/>
    <w:rsid w:val="006063D4"/>
    <w:rsid w:val="00607C67"/>
    <w:rsid w:val="00613489"/>
    <w:rsid w:val="0062765B"/>
    <w:rsid w:val="006330A2"/>
    <w:rsid w:val="00634D99"/>
    <w:rsid w:val="00642BC1"/>
    <w:rsid w:val="00642EB6"/>
    <w:rsid w:val="006433E2"/>
    <w:rsid w:val="00643A97"/>
    <w:rsid w:val="00651E5D"/>
    <w:rsid w:val="00682B1A"/>
    <w:rsid w:val="00684ED9"/>
    <w:rsid w:val="00690D7C"/>
    <w:rsid w:val="00693907"/>
    <w:rsid w:val="00696417"/>
    <w:rsid w:val="006A3907"/>
    <w:rsid w:val="006A4DE6"/>
    <w:rsid w:val="006B3EEC"/>
    <w:rsid w:val="006D74AE"/>
    <w:rsid w:val="006D7EAC"/>
    <w:rsid w:val="006E0104"/>
    <w:rsid w:val="006F4F41"/>
    <w:rsid w:val="006F7602"/>
    <w:rsid w:val="00706E32"/>
    <w:rsid w:val="00722A17"/>
    <w:rsid w:val="00723F4F"/>
    <w:rsid w:val="0074130B"/>
    <w:rsid w:val="00755AE0"/>
    <w:rsid w:val="0075761B"/>
    <w:rsid w:val="00757B83"/>
    <w:rsid w:val="007638F3"/>
    <w:rsid w:val="00791A69"/>
    <w:rsid w:val="00794830"/>
    <w:rsid w:val="00797CAA"/>
    <w:rsid w:val="007C2658"/>
    <w:rsid w:val="007D40B2"/>
    <w:rsid w:val="007D59A2"/>
    <w:rsid w:val="007E20D0"/>
    <w:rsid w:val="007E3DAB"/>
    <w:rsid w:val="007F752D"/>
    <w:rsid w:val="008053B3"/>
    <w:rsid w:val="00820315"/>
    <w:rsid w:val="00821D93"/>
    <w:rsid w:val="00822E90"/>
    <w:rsid w:val="00831CB2"/>
    <w:rsid w:val="008320FB"/>
    <w:rsid w:val="00832921"/>
    <w:rsid w:val="008427F2"/>
    <w:rsid w:val="00843B45"/>
    <w:rsid w:val="00851843"/>
    <w:rsid w:val="00863129"/>
    <w:rsid w:val="0086560B"/>
    <w:rsid w:val="00866830"/>
    <w:rsid w:val="00874F2E"/>
    <w:rsid w:val="008755E5"/>
    <w:rsid w:val="00877147"/>
    <w:rsid w:val="00892F6F"/>
    <w:rsid w:val="00896F7E"/>
    <w:rsid w:val="008C2A29"/>
    <w:rsid w:val="008C2DB2"/>
    <w:rsid w:val="008D770E"/>
    <w:rsid w:val="008E7B5E"/>
    <w:rsid w:val="0090337E"/>
    <w:rsid w:val="00904EFA"/>
    <w:rsid w:val="009111FE"/>
    <w:rsid w:val="00915993"/>
    <w:rsid w:val="0092522B"/>
    <w:rsid w:val="009328FA"/>
    <w:rsid w:val="00936A78"/>
    <w:rsid w:val="00943606"/>
    <w:rsid w:val="00952853"/>
    <w:rsid w:val="00961EE1"/>
    <w:rsid w:val="009634DC"/>
    <w:rsid w:val="00963988"/>
    <w:rsid w:val="009646E4"/>
    <w:rsid w:val="00977EC3"/>
    <w:rsid w:val="009B211F"/>
    <w:rsid w:val="009B5204"/>
    <w:rsid w:val="009B7C05"/>
    <w:rsid w:val="009C2378"/>
    <w:rsid w:val="009C5A77"/>
    <w:rsid w:val="009C5D99"/>
    <w:rsid w:val="009D016F"/>
    <w:rsid w:val="009D48D9"/>
    <w:rsid w:val="009D78C1"/>
    <w:rsid w:val="009D7E60"/>
    <w:rsid w:val="009E251D"/>
    <w:rsid w:val="009E470F"/>
    <w:rsid w:val="009F10A8"/>
    <w:rsid w:val="009F4627"/>
    <w:rsid w:val="00A02F49"/>
    <w:rsid w:val="00A06278"/>
    <w:rsid w:val="00A119E2"/>
    <w:rsid w:val="00A171F4"/>
    <w:rsid w:val="00A1772D"/>
    <w:rsid w:val="00A177B2"/>
    <w:rsid w:val="00A24EFC"/>
    <w:rsid w:val="00A27B56"/>
    <w:rsid w:val="00A40E62"/>
    <w:rsid w:val="00A47556"/>
    <w:rsid w:val="00A51F29"/>
    <w:rsid w:val="00A56A89"/>
    <w:rsid w:val="00A636D6"/>
    <w:rsid w:val="00A71CF2"/>
    <w:rsid w:val="00A75A26"/>
    <w:rsid w:val="00A9565F"/>
    <w:rsid w:val="00A977CE"/>
    <w:rsid w:val="00AB52F9"/>
    <w:rsid w:val="00AB65B9"/>
    <w:rsid w:val="00AC5B80"/>
    <w:rsid w:val="00AD131F"/>
    <w:rsid w:val="00AD2A2A"/>
    <w:rsid w:val="00AD32D5"/>
    <w:rsid w:val="00AD70E4"/>
    <w:rsid w:val="00AF3B3A"/>
    <w:rsid w:val="00AF4E8E"/>
    <w:rsid w:val="00AF6569"/>
    <w:rsid w:val="00B00EE7"/>
    <w:rsid w:val="00B0129B"/>
    <w:rsid w:val="00B06265"/>
    <w:rsid w:val="00B14723"/>
    <w:rsid w:val="00B3481E"/>
    <w:rsid w:val="00B42872"/>
    <w:rsid w:val="00B5232A"/>
    <w:rsid w:val="00B55310"/>
    <w:rsid w:val="00B74F34"/>
    <w:rsid w:val="00B75188"/>
    <w:rsid w:val="00B83E69"/>
    <w:rsid w:val="00B85BDB"/>
    <w:rsid w:val="00B90F78"/>
    <w:rsid w:val="00BB34DD"/>
    <w:rsid w:val="00BD1058"/>
    <w:rsid w:val="00BD5391"/>
    <w:rsid w:val="00BD764C"/>
    <w:rsid w:val="00BF0505"/>
    <w:rsid w:val="00BF3DC6"/>
    <w:rsid w:val="00BF56B2"/>
    <w:rsid w:val="00BF5CD6"/>
    <w:rsid w:val="00C055AB"/>
    <w:rsid w:val="00C05746"/>
    <w:rsid w:val="00C11F95"/>
    <w:rsid w:val="00C136DF"/>
    <w:rsid w:val="00C16524"/>
    <w:rsid w:val="00C33978"/>
    <w:rsid w:val="00C36869"/>
    <w:rsid w:val="00C37F49"/>
    <w:rsid w:val="00C40627"/>
    <w:rsid w:val="00C42C59"/>
    <w:rsid w:val="00C457C3"/>
    <w:rsid w:val="00C50CB6"/>
    <w:rsid w:val="00C644CA"/>
    <w:rsid w:val="00C73005"/>
    <w:rsid w:val="00C85E18"/>
    <w:rsid w:val="00CA4A09"/>
    <w:rsid w:val="00CC787C"/>
    <w:rsid w:val="00CF36C9"/>
    <w:rsid w:val="00D00EC4"/>
    <w:rsid w:val="00D02017"/>
    <w:rsid w:val="00D10C6F"/>
    <w:rsid w:val="00D166AC"/>
    <w:rsid w:val="00D3141A"/>
    <w:rsid w:val="00D36BA2"/>
    <w:rsid w:val="00D37CF4"/>
    <w:rsid w:val="00D4487C"/>
    <w:rsid w:val="00D5734A"/>
    <w:rsid w:val="00D62ACD"/>
    <w:rsid w:val="00D65152"/>
    <w:rsid w:val="00D83224"/>
    <w:rsid w:val="00D95EAF"/>
    <w:rsid w:val="00DA0198"/>
    <w:rsid w:val="00DA0992"/>
    <w:rsid w:val="00DA0FAD"/>
    <w:rsid w:val="00DA6969"/>
    <w:rsid w:val="00DB2CFB"/>
    <w:rsid w:val="00DB375E"/>
    <w:rsid w:val="00DB4BB0"/>
    <w:rsid w:val="00DE461D"/>
    <w:rsid w:val="00DE6F8E"/>
    <w:rsid w:val="00DF708B"/>
    <w:rsid w:val="00E04039"/>
    <w:rsid w:val="00E14608"/>
    <w:rsid w:val="00E21E67"/>
    <w:rsid w:val="00E30EBF"/>
    <w:rsid w:val="00E316C0"/>
    <w:rsid w:val="00E46319"/>
    <w:rsid w:val="00E52D70"/>
    <w:rsid w:val="00E55534"/>
    <w:rsid w:val="00E7116D"/>
    <w:rsid w:val="00E7159E"/>
    <w:rsid w:val="00E85732"/>
    <w:rsid w:val="00E914D1"/>
    <w:rsid w:val="00E960D8"/>
    <w:rsid w:val="00ED7BB1"/>
    <w:rsid w:val="00EF3846"/>
    <w:rsid w:val="00EF512B"/>
    <w:rsid w:val="00F047EB"/>
    <w:rsid w:val="00F066E0"/>
    <w:rsid w:val="00F10B43"/>
    <w:rsid w:val="00F17DDE"/>
    <w:rsid w:val="00F20920"/>
    <w:rsid w:val="00F23212"/>
    <w:rsid w:val="00F32D33"/>
    <w:rsid w:val="00F33B16"/>
    <w:rsid w:val="00F34070"/>
    <w:rsid w:val="00F353EA"/>
    <w:rsid w:val="00F56318"/>
    <w:rsid w:val="00F56CC4"/>
    <w:rsid w:val="00F74479"/>
    <w:rsid w:val="00F75B79"/>
    <w:rsid w:val="00F82525"/>
    <w:rsid w:val="00F833AC"/>
    <w:rsid w:val="00F91E30"/>
    <w:rsid w:val="00F97FEA"/>
    <w:rsid w:val="00FB60E1"/>
    <w:rsid w:val="00FD3768"/>
    <w:rsid w:val="00FF52AE"/>
    <w:rsid w:val="00FF7EA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32514B"/>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paragraph" w:styleId="StandardWeb">
    <w:name w:val="Normal (Web)"/>
    <w:basedOn w:val="Standard"/>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709A4"/>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CFB1-304B-4B61-845B-EF978C75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2</Pages>
  <Words>433</Words>
  <Characters>2733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8</cp:revision>
  <cp:lastPrinted>2022-04-19T11:26:00Z</cp:lastPrinted>
  <dcterms:created xsi:type="dcterms:W3CDTF">2022-11-23T08:20:00Z</dcterms:created>
  <dcterms:modified xsi:type="dcterms:W3CDTF">2023-02-07T08:36:00Z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#ff0000,10,Calibri</vt:lpwstr>
  </property>
  <property fmtid="{D5CDD505-2E9C-101B-9397-08002B2CF9AE}" pid="3" name="ClassificationContentMarkingHeaderShapeIds">
    <vt:lpwstr>d,10,11</vt:lpwstr>
  </property>
  <property fmtid="{D5CDD505-2E9C-101B-9397-08002B2CF9AE}" pid="4" name="ClassificationContentMarkingHeaderText">
    <vt:lpwstr>Public</vt:lpwstr>
  </property>
  <property fmtid="{D5CDD505-2E9C-101B-9397-08002B2CF9AE}" pid="5" name="MSIP_Label_df1a195f-122b-42dc-a2d3-71a1903dcdac_ActionId">
    <vt:lpwstr>e84233d9-6b8a-4bf8-ab04-834edb678e18</vt:lpwstr>
  </property>
  <property fmtid="{D5CDD505-2E9C-101B-9397-08002B2CF9AE}" pid="6" name="MSIP_Label_df1a195f-122b-42dc-a2d3-71a1903dcdac_ContentBits">
    <vt:lpwstr>1</vt:lpwstr>
  </property>
  <property fmtid="{D5CDD505-2E9C-101B-9397-08002B2CF9AE}" pid="7" name="MSIP_Label_df1a195f-122b-42dc-a2d3-71a1903dcdac_Enabled">
    <vt:lpwstr>true</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etDate">
    <vt:lpwstr>2022-04-27T08:36:09Z</vt:lpwstr>
  </property>
  <property fmtid="{D5CDD505-2E9C-101B-9397-08002B2CF9AE}" pid="11" name="MSIP_Label_df1a195f-122b-42dc-a2d3-71a1903dcdac_SiteId">
    <vt:lpwstr>4aa45fee-62ee-49ff-a377-c53bd72cd986</vt:lpwstr>
  </property>
</Properties>
</file>