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DC354" w14:textId="77777777" w:rsidR="00A9565F" w:rsidRPr="00FA0E48" w:rsidRDefault="00FA0E48" w:rsidP="004D2AB9">
      <w:pPr>
        <w:pStyle w:val="1RoadNews"/>
        <w:rPr>
          <w:rFonts w:ascii="Verdana" w:hAnsi="Verdana"/>
          <w:b/>
          <w:bCs/>
          <w:sz w:val="40"/>
          <w:szCs w:val="40"/>
          <w:lang w:val="en-GB"/>
        </w:rPr>
      </w:pPr>
      <w:bookmarkStart w:id="0" w:name="_Hlk117081588"/>
      <w:bookmarkEnd w:id="0"/>
      <w:r w:rsidRPr="00FA0E48">
        <w:rPr>
          <w:rFonts w:ascii="Verdana" w:hAnsi="Verdana"/>
          <w:b/>
          <w:bCs/>
          <w:iCs w:val="0"/>
          <w:sz w:val="40"/>
          <w:szCs w:val="40"/>
          <w:lang w:val="fr-FR"/>
        </w:rPr>
        <w:t>Kleemann</w:t>
      </w:r>
      <w:r>
        <w:rPr>
          <w:rFonts w:ascii="Verdana" w:hAnsi="Verdana"/>
          <w:b/>
          <w:bCs/>
          <w:iCs w:val="0"/>
          <w:sz w:val="40"/>
          <w:szCs w:val="40"/>
          <w:lang w:val="fr-FR"/>
        </w:rPr>
        <w:t xml:space="preserve"> | Nouveaux convoyeurs de terrils mobiles </w:t>
      </w:r>
      <w:r w:rsidRPr="00FA0E48">
        <w:rPr>
          <w:rFonts w:ascii="Verdana" w:hAnsi="Verdana"/>
          <w:b/>
          <w:bCs/>
          <w:iCs w:val="0"/>
          <w:sz w:val="40"/>
          <w:szCs w:val="40"/>
          <w:lang w:val="fr-FR"/>
        </w:rPr>
        <w:t>MOBIBELT</w:t>
      </w:r>
      <w:r>
        <w:rPr>
          <w:rFonts w:ascii="Verdana" w:hAnsi="Verdana"/>
          <w:b/>
          <w:bCs/>
          <w:iCs w:val="0"/>
          <w:sz w:val="40"/>
          <w:szCs w:val="40"/>
          <w:lang w:val="fr-FR"/>
        </w:rPr>
        <w:t xml:space="preserve"> pour une logistique optimisée </w:t>
      </w:r>
    </w:p>
    <w:p w14:paraId="5F2B3166" w14:textId="77777777" w:rsidR="004D2AB9" w:rsidRPr="00FA0E48" w:rsidRDefault="004D2AB9" w:rsidP="004D2AB9">
      <w:pPr>
        <w:pStyle w:val="1RoadNews"/>
        <w:rPr>
          <w:b/>
          <w:iCs w:val="0"/>
          <w:lang w:val="en-GB"/>
        </w:rPr>
      </w:pPr>
    </w:p>
    <w:p w14:paraId="171305A1" w14:textId="77777777" w:rsidR="00A9565F" w:rsidRPr="00FA0E48" w:rsidRDefault="00FA0E48" w:rsidP="00A9565F">
      <w:pPr>
        <w:jc w:val="both"/>
        <w:rPr>
          <w:rFonts w:eastAsiaTheme="majorEastAsia" w:cstheme="majorBidi"/>
          <w:b/>
          <w:color w:val="000000" w:themeColor="text1"/>
          <w:sz w:val="28"/>
          <w:szCs w:val="22"/>
          <w:lang w:val="en-GB"/>
        </w:rPr>
      </w:pPr>
      <w:r>
        <w:rPr>
          <w:rFonts w:eastAsiaTheme="majorEastAsia" w:cstheme="majorBidi"/>
          <w:b/>
          <w:bCs/>
          <w:color w:val="000000" w:themeColor="text1"/>
          <w:sz w:val="28"/>
          <w:szCs w:val="22"/>
          <w:lang w:val="fr-FR"/>
        </w:rPr>
        <w:t>Concevoir des processus sur chantiers plus flexibles</w:t>
      </w:r>
    </w:p>
    <w:p w14:paraId="4FCBA75C" w14:textId="77777777" w:rsidR="00115EF6" w:rsidRPr="00FA0E48" w:rsidRDefault="00115EF6" w:rsidP="00A9565F">
      <w:pPr>
        <w:jc w:val="both"/>
        <w:rPr>
          <w:rFonts w:eastAsiaTheme="majorEastAsia" w:cstheme="majorBidi"/>
          <w:bCs/>
          <w:color w:val="000000" w:themeColor="text1"/>
          <w:sz w:val="22"/>
          <w:szCs w:val="22"/>
          <w:lang w:val="en-GB"/>
        </w:rPr>
      </w:pPr>
    </w:p>
    <w:p w14:paraId="52E06543" w14:textId="77777777" w:rsidR="00DF708B" w:rsidRPr="00FA0E48" w:rsidRDefault="00FA0E48" w:rsidP="00536D91">
      <w:pPr>
        <w:jc w:val="both"/>
        <w:rPr>
          <w:rFonts w:eastAsiaTheme="majorEastAsia" w:cstheme="majorBidi"/>
          <w:b/>
          <w:bCs/>
          <w:color w:val="000000" w:themeColor="text1"/>
          <w:sz w:val="22"/>
          <w:szCs w:val="22"/>
          <w:lang w:val="fr-FR"/>
        </w:rPr>
      </w:pPr>
      <w:r>
        <w:rPr>
          <w:rFonts w:eastAsiaTheme="majorEastAsia" w:cstheme="majorBidi"/>
          <w:b/>
          <w:bCs/>
          <w:color w:val="000000" w:themeColor="text1"/>
          <w:sz w:val="22"/>
          <w:szCs w:val="22"/>
          <w:lang w:val="fr-FR"/>
        </w:rPr>
        <w:t xml:space="preserve">Les convoyeurs de terrils mobiles </w:t>
      </w:r>
      <w:r w:rsidRPr="00FA0E48">
        <w:rPr>
          <w:rFonts w:eastAsiaTheme="majorEastAsia" w:cstheme="majorBidi"/>
          <w:b/>
          <w:bCs/>
          <w:color w:val="000000" w:themeColor="text1"/>
          <w:sz w:val="22"/>
          <w:szCs w:val="22"/>
          <w:lang w:val="fr-FR"/>
        </w:rPr>
        <w:t>MOBIBELT</w:t>
      </w:r>
      <w:r>
        <w:rPr>
          <w:rFonts w:eastAsiaTheme="majorEastAsia" w:cstheme="majorBidi"/>
          <w:b/>
          <w:bCs/>
          <w:color w:val="000000" w:themeColor="text1"/>
          <w:sz w:val="22"/>
          <w:szCs w:val="22"/>
          <w:lang w:val="fr-FR"/>
        </w:rPr>
        <w:t xml:space="preserve"> sont employés pour des processus de logistiques efficaces sur chantiers. Ils étendent de manière flexible le rayon d'action des installations de concassage et de criblage mobiles et permettent d'obtenir des terrils plus grands et donc améliorent la logistique des chantiers.</w:t>
      </w:r>
    </w:p>
    <w:p w14:paraId="0599AA50" w14:textId="77777777" w:rsidR="00536D91" w:rsidRPr="00FA0E48" w:rsidRDefault="00536D91" w:rsidP="00536D91">
      <w:pPr>
        <w:jc w:val="both"/>
        <w:rPr>
          <w:rFonts w:eastAsiaTheme="majorEastAsia" w:cstheme="majorBidi"/>
          <w:b/>
          <w:bCs/>
          <w:color w:val="000000" w:themeColor="text1"/>
          <w:sz w:val="22"/>
          <w:szCs w:val="22"/>
          <w:lang w:val="fr-FR"/>
        </w:rPr>
      </w:pPr>
    </w:p>
    <w:p w14:paraId="732772E9" w14:textId="77777777" w:rsidR="00115EF6" w:rsidRPr="00FA0E48" w:rsidRDefault="00FA0E48" w:rsidP="0086560B">
      <w:pPr>
        <w:autoSpaceDE w:val="0"/>
        <w:autoSpaceDN w:val="0"/>
        <w:adjustRightInd w:val="0"/>
        <w:jc w:val="both"/>
        <w:rPr>
          <w:rStyle w:val="Hervorhebung"/>
          <w:b w:val="0"/>
          <w:sz w:val="22"/>
          <w:szCs w:val="22"/>
          <w:lang w:val="fr-FR"/>
        </w:rPr>
      </w:pPr>
      <w:r>
        <w:rPr>
          <w:rStyle w:val="Hervorhebung"/>
          <w:b w:val="0"/>
          <w:iCs w:val="0"/>
          <w:sz w:val="22"/>
          <w:szCs w:val="22"/>
          <w:lang w:val="fr-FR"/>
        </w:rPr>
        <w:t xml:space="preserve">À l'heure actuelle, les installations modernes de broyage et de criblage régulent presque automatiquement les flux des matériaux au sein de l'installation. Les opérateurs des machines ont toutefois une grosse influence sur la qualité du produit fini et le rendement journalier. Avec leurs excavatrices et chargeurs sur roues, ils commandent l'amenée, c’est-à-dire, l'alimentation en roche ou matériau de recyclage. Les utilisateurs jouent également un rôle important en sortie : ils coordonnent les produits finis par formation de terrils, stockage intermédiaire et chargement. Avec les nouveaux convoyeurs de terrils MOBIBELT MBT 20(i) et MBT 24(i) de Kleemann, la logistique peut être traitée de manière plus flexible et adaptée à la situation. </w:t>
      </w:r>
    </w:p>
    <w:p w14:paraId="4B704928" w14:textId="77777777" w:rsidR="00115EF6" w:rsidRPr="00FA0E48" w:rsidRDefault="00115EF6" w:rsidP="0086560B">
      <w:pPr>
        <w:autoSpaceDE w:val="0"/>
        <w:autoSpaceDN w:val="0"/>
        <w:adjustRightInd w:val="0"/>
        <w:jc w:val="both"/>
        <w:rPr>
          <w:rStyle w:val="Hervorhebung"/>
          <w:b w:val="0"/>
          <w:sz w:val="22"/>
          <w:szCs w:val="22"/>
          <w:lang w:val="fr-FR"/>
        </w:rPr>
      </w:pPr>
    </w:p>
    <w:p w14:paraId="2DB36EC1" w14:textId="77777777" w:rsidR="00DA0198" w:rsidRPr="00FA0E48" w:rsidRDefault="00FA0E48" w:rsidP="00DA0198">
      <w:pPr>
        <w:autoSpaceDE w:val="0"/>
        <w:autoSpaceDN w:val="0"/>
        <w:adjustRightInd w:val="0"/>
        <w:rPr>
          <w:b/>
          <w:bCs/>
          <w:sz w:val="22"/>
          <w:szCs w:val="22"/>
          <w:lang w:val="fr-FR"/>
        </w:rPr>
      </w:pPr>
      <w:r>
        <w:rPr>
          <w:b/>
          <w:bCs/>
          <w:sz w:val="22"/>
          <w:szCs w:val="22"/>
          <w:lang w:val="fr-FR"/>
        </w:rPr>
        <w:t>Des temps d'équipement brefs et des performances d'alimentation élevées</w:t>
      </w:r>
    </w:p>
    <w:p w14:paraId="57ACB92E" w14:textId="1E3EFB76" w:rsidR="00DA0198" w:rsidRPr="00FA0E48" w:rsidRDefault="00FA0E48" w:rsidP="00DA0198">
      <w:pPr>
        <w:autoSpaceDE w:val="0"/>
        <w:autoSpaceDN w:val="0"/>
        <w:adjustRightInd w:val="0"/>
        <w:jc w:val="both"/>
        <w:rPr>
          <w:sz w:val="22"/>
          <w:szCs w:val="22"/>
          <w:lang w:val="fr-FR"/>
        </w:rPr>
      </w:pPr>
      <w:r>
        <w:rPr>
          <w:sz w:val="22"/>
          <w:szCs w:val="22"/>
          <w:lang w:val="fr-FR"/>
        </w:rPr>
        <w:t>Les deux convoyeurs de terrils sont équipés d'une trémie d'alimentation de 1,</w:t>
      </w:r>
      <w:r w:rsidR="00AD3048">
        <w:rPr>
          <w:sz w:val="22"/>
          <w:szCs w:val="22"/>
          <w:lang w:val="fr-FR"/>
        </w:rPr>
        <w:t>25</w:t>
      </w:r>
      <w:r>
        <w:rPr>
          <w:sz w:val="22"/>
          <w:szCs w:val="22"/>
          <w:lang w:val="fr-FR"/>
        </w:rPr>
        <w:t xml:space="preserve"> m³ en acier KRS résistant (Kleemann Resistant Steel), qui permet de décharger sans problème des matériaux jusqu'à 200 mm de longueur d'arête. Une extension de trémie d'alimentation à une surface de 2,5 m³ comprend une barre de percussion supplémentaire qui empêche le contact direct du matériau d'alimentation sur la bande de transport, réduisant ainsi l'usure. Le réglage hydraulique de la hauteur d'alimentation et de la hauteur de déchargement permet une configuration rapide et une utilisation flexible des convoyeurs de terrils mobiles en aval des installations de concassage et de criblage avec différentes hauteurs de déchargement.</w:t>
      </w:r>
    </w:p>
    <w:p w14:paraId="1848F61A" w14:textId="77777777" w:rsidR="00DA0198" w:rsidRPr="00FA0E48" w:rsidRDefault="00DA0198" w:rsidP="00AD2A2A">
      <w:pPr>
        <w:autoSpaceDE w:val="0"/>
        <w:autoSpaceDN w:val="0"/>
        <w:adjustRightInd w:val="0"/>
        <w:jc w:val="both"/>
        <w:rPr>
          <w:rFonts w:eastAsiaTheme="majorEastAsia" w:cstheme="majorBidi"/>
          <w:bCs/>
          <w:color w:val="000000" w:themeColor="text1"/>
          <w:sz w:val="22"/>
          <w:szCs w:val="22"/>
          <w:lang w:val="fr-FR"/>
        </w:rPr>
      </w:pPr>
    </w:p>
    <w:p w14:paraId="4215F57F" w14:textId="77777777" w:rsidR="001609A5" w:rsidRPr="00FA0E48" w:rsidRDefault="00FA0E48" w:rsidP="001609A5">
      <w:pPr>
        <w:autoSpaceDE w:val="0"/>
        <w:autoSpaceDN w:val="0"/>
        <w:adjustRightInd w:val="0"/>
        <w:rPr>
          <w:b/>
          <w:bCs/>
          <w:sz w:val="22"/>
          <w:szCs w:val="22"/>
          <w:lang w:val="en-GB"/>
        </w:rPr>
      </w:pPr>
      <w:r>
        <w:rPr>
          <w:b/>
          <w:bCs/>
          <w:sz w:val="22"/>
          <w:szCs w:val="22"/>
          <w:lang w:val="fr-FR"/>
        </w:rPr>
        <w:t xml:space="preserve">Commande pratique </w:t>
      </w:r>
    </w:p>
    <w:p w14:paraId="5F77EFDD" w14:textId="77777777" w:rsidR="00822E90" w:rsidRPr="00FA0E48" w:rsidRDefault="00FA0E48" w:rsidP="001609A5">
      <w:pPr>
        <w:autoSpaceDE w:val="0"/>
        <w:autoSpaceDN w:val="0"/>
        <w:adjustRightInd w:val="0"/>
        <w:jc w:val="both"/>
        <w:rPr>
          <w:sz w:val="22"/>
          <w:szCs w:val="22"/>
          <w:lang w:val="en-GB"/>
        </w:rPr>
      </w:pPr>
      <w:r>
        <w:rPr>
          <w:sz w:val="22"/>
          <w:szCs w:val="22"/>
          <w:lang w:val="fr-FR"/>
        </w:rPr>
        <w:t>La commande des convoyeurs de terrils mobiles est certes moins complexe que pour les installations de broyage, mais doit quand même être simple et pratique. Les MOBIBELT MBT 20(i) et MBT 24(i) disposent pour cela du concept de commande SPECTIVE, qui permet de commander les machines intuitivement. Ils sont équipés d'un poste de commande central, d'une commande sur place et offrent la possibilité d'une aide à la résolution des erreurs hors ligne via SPECTIVE CONNECT, l'opérateur est donc confortablement assisté dans son travail quotidien.</w:t>
      </w:r>
    </w:p>
    <w:p w14:paraId="1739CC40" w14:textId="77777777" w:rsidR="00822E90" w:rsidRPr="00FA0E48" w:rsidRDefault="00822E90" w:rsidP="00AD2A2A">
      <w:pPr>
        <w:autoSpaceDE w:val="0"/>
        <w:autoSpaceDN w:val="0"/>
        <w:adjustRightInd w:val="0"/>
        <w:jc w:val="both"/>
        <w:rPr>
          <w:rFonts w:eastAsiaTheme="majorEastAsia" w:cstheme="majorBidi"/>
          <w:bCs/>
          <w:color w:val="000000" w:themeColor="text1"/>
          <w:sz w:val="20"/>
          <w:szCs w:val="20"/>
          <w:lang w:val="en-GB"/>
        </w:rPr>
      </w:pPr>
    </w:p>
    <w:p w14:paraId="1F5D7A5C" w14:textId="77777777" w:rsidR="004633C8" w:rsidRPr="00FA0E48" w:rsidRDefault="004633C8" w:rsidP="00600D40">
      <w:pPr>
        <w:pStyle w:val="Text"/>
        <w:rPr>
          <w:rFonts w:eastAsia="Calibri" w:cs="Arial"/>
          <w:b/>
          <w:sz w:val="20"/>
          <w:szCs w:val="20"/>
          <w:lang w:val="en-GB"/>
        </w:rPr>
      </w:pPr>
    </w:p>
    <w:p w14:paraId="602BDD5B" w14:textId="77777777" w:rsidR="00E46319" w:rsidRPr="00FA0E48" w:rsidRDefault="00E46319" w:rsidP="00600D40">
      <w:pPr>
        <w:pStyle w:val="Text"/>
        <w:rPr>
          <w:rFonts w:eastAsia="Calibri" w:cs="Arial"/>
          <w:b/>
          <w:sz w:val="20"/>
          <w:szCs w:val="20"/>
          <w:lang w:val="en-GB"/>
        </w:rPr>
      </w:pPr>
    </w:p>
    <w:p w14:paraId="0DD7E645" w14:textId="77777777" w:rsidR="00E46319" w:rsidRPr="00FA0E48" w:rsidRDefault="00E46319" w:rsidP="00600D40">
      <w:pPr>
        <w:pStyle w:val="Text"/>
        <w:rPr>
          <w:rFonts w:eastAsia="Calibri" w:cs="Arial"/>
          <w:b/>
          <w:sz w:val="20"/>
          <w:szCs w:val="20"/>
          <w:lang w:val="en-GB"/>
        </w:rPr>
      </w:pPr>
    </w:p>
    <w:p w14:paraId="2EA9A25C" w14:textId="77777777" w:rsidR="00E46319" w:rsidRPr="00FA0E48" w:rsidRDefault="00E46319" w:rsidP="00600D40">
      <w:pPr>
        <w:pStyle w:val="Text"/>
        <w:rPr>
          <w:rFonts w:eastAsia="Calibri" w:cs="Arial"/>
          <w:b/>
          <w:sz w:val="20"/>
          <w:szCs w:val="20"/>
          <w:lang w:val="en-GB"/>
        </w:rPr>
      </w:pPr>
    </w:p>
    <w:p w14:paraId="3CC66D3A" w14:textId="77777777" w:rsidR="00E46319" w:rsidRPr="00FA0E48" w:rsidRDefault="00E46319" w:rsidP="00600D40">
      <w:pPr>
        <w:pStyle w:val="Text"/>
        <w:rPr>
          <w:rFonts w:eastAsia="Calibri" w:cs="Arial"/>
          <w:b/>
          <w:sz w:val="20"/>
          <w:szCs w:val="20"/>
          <w:lang w:val="en-GB"/>
        </w:rPr>
      </w:pPr>
    </w:p>
    <w:p w14:paraId="2D47D8E1" w14:textId="624B10FD" w:rsidR="0060303F" w:rsidRPr="00FA0E48" w:rsidRDefault="0060303F">
      <w:pPr>
        <w:rPr>
          <w:rFonts w:eastAsia="Calibri" w:cs="Arial"/>
          <w:b/>
          <w:sz w:val="22"/>
          <w:szCs w:val="22"/>
          <w:lang w:val="en-GB"/>
        </w:rPr>
      </w:pPr>
    </w:p>
    <w:p w14:paraId="3857FA84" w14:textId="77777777" w:rsidR="00600D40" w:rsidRDefault="00FA0E48" w:rsidP="00600D40">
      <w:pPr>
        <w:pStyle w:val="Text"/>
        <w:rPr>
          <w:b/>
        </w:rPr>
      </w:pPr>
      <w:r>
        <w:rPr>
          <w:rFonts w:eastAsia="Calibri" w:cs="Arial"/>
          <w:b/>
          <w:bCs/>
          <w:szCs w:val="22"/>
          <w:lang w:val="fr-FR"/>
        </w:rPr>
        <w:t>Photos :</w:t>
      </w:r>
    </w:p>
    <w:p w14:paraId="22327E6F" w14:textId="77777777" w:rsidR="00D62ACD" w:rsidRDefault="00FA0E48" w:rsidP="000E24F8">
      <w:pPr>
        <w:pStyle w:val="Text"/>
        <w:rPr>
          <w:b/>
          <w:color w:val="000000" w:themeColor="text1"/>
          <w:highlight w:val="yellow"/>
        </w:rPr>
      </w:pPr>
      <w:r>
        <w:rPr>
          <w:b/>
          <w:bCs/>
          <w:noProof/>
          <w:szCs w:val="22"/>
          <w:lang w:val="fr-FR"/>
        </w:rPr>
        <w:drawing>
          <wp:inline distT="0" distB="0" distL="0" distR="0" wp14:anchorId="37A3EE0B" wp14:editId="26EFFF81">
            <wp:extent cx="4229798" cy="30956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828236" name="Picture 3"/>
                    <pic:cNvPicPr>
                      <a:picLocks noChangeAspect="1" noChangeArrowheads="1"/>
                    </pic:cNvPicPr>
                  </pic:nvPicPr>
                  <pic:blipFill>
                    <a:blip r:embed="rId8" cstate="screen">
                      <a:extLst>
                        <a:ext uri="{28A0092B-C50C-407E-A947-70E740481C1C}">
                          <a14:useLocalDpi xmlns:a14="http://schemas.microsoft.com/office/drawing/2010/main" val="0"/>
                        </a:ext>
                      </a:extLst>
                    </a:blip>
                    <a:stretch>
                      <a:fillRect/>
                    </a:stretch>
                  </pic:blipFill>
                  <pic:spPr bwMode="auto">
                    <a:xfrm>
                      <a:off x="0" y="0"/>
                      <a:ext cx="4229798" cy="3095625"/>
                    </a:xfrm>
                    <a:prstGeom prst="rect">
                      <a:avLst/>
                    </a:prstGeom>
                    <a:noFill/>
                    <a:ln>
                      <a:noFill/>
                    </a:ln>
                  </pic:spPr>
                </pic:pic>
              </a:graphicData>
            </a:graphic>
          </wp:inline>
        </w:drawing>
      </w:r>
    </w:p>
    <w:p w14:paraId="0629320F" w14:textId="77777777" w:rsidR="00C42C59" w:rsidRPr="002D1DBD" w:rsidRDefault="00C42C59" w:rsidP="000E24F8">
      <w:pPr>
        <w:pStyle w:val="Text"/>
        <w:rPr>
          <w:b/>
          <w:color w:val="000000" w:themeColor="text1"/>
        </w:rPr>
      </w:pPr>
    </w:p>
    <w:p w14:paraId="757212BB" w14:textId="77777777" w:rsidR="00600D40" w:rsidRPr="00FA0E48" w:rsidRDefault="00FA0E48" w:rsidP="00600D40">
      <w:pPr>
        <w:autoSpaceDE w:val="0"/>
        <w:autoSpaceDN w:val="0"/>
        <w:adjustRightInd w:val="0"/>
        <w:rPr>
          <w:rFonts w:eastAsia="MS Mincho"/>
          <w:b/>
          <w:sz w:val="20"/>
          <w:szCs w:val="24"/>
          <w:lang w:val="en-GB"/>
        </w:rPr>
      </w:pPr>
      <w:r>
        <w:rPr>
          <w:rFonts w:eastAsia="MS Mincho"/>
          <w:b/>
          <w:bCs/>
          <w:sz w:val="20"/>
          <w:szCs w:val="24"/>
          <w:lang w:val="fr-FR"/>
        </w:rPr>
        <w:t xml:space="preserve">KL_MOBIBELT 24i </w:t>
      </w:r>
    </w:p>
    <w:p w14:paraId="3445935C" w14:textId="77777777" w:rsidR="00E46319" w:rsidRPr="00FA0E48" w:rsidRDefault="00FA0E48" w:rsidP="00E46319">
      <w:pPr>
        <w:pStyle w:val="Text"/>
        <w:rPr>
          <w:b/>
          <w:color w:val="000000" w:themeColor="text1"/>
          <w:lang w:val="en-GB"/>
        </w:rPr>
      </w:pPr>
      <w:r>
        <w:rPr>
          <w:color w:val="000000" w:themeColor="text1"/>
          <w:sz w:val="20"/>
          <w:szCs w:val="14"/>
          <w:lang w:val="fr-FR"/>
        </w:rPr>
        <w:t xml:space="preserve">Les convoyeurs de terrils mobiles MOBIBELT MBT 20(i) et MBT 24(i) de Kleemann permettent de grands terrils et une logistique optimisée sur les chantiers.  </w:t>
      </w:r>
    </w:p>
    <w:p w14:paraId="6C32FAF9" w14:textId="77777777" w:rsidR="00091312" w:rsidRPr="00FA0E48" w:rsidRDefault="00091312" w:rsidP="000E24F8">
      <w:pPr>
        <w:pStyle w:val="Text"/>
        <w:rPr>
          <w:b/>
          <w:color w:val="000000" w:themeColor="text1"/>
          <w:lang w:val="en-GB"/>
        </w:rPr>
      </w:pPr>
    </w:p>
    <w:p w14:paraId="7AD31864" w14:textId="77777777" w:rsidR="00E46319" w:rsidRPr="00FA0E48" w:rsidRDefault="00E46319" w:rsidP="000E24F8">
      <w:pPr>
        <w:pStyle w:val="Text"/>
        <w:rPr>
          <w:b/>
          <w:color w:val="000000" w:themeColor="text1"/>
          <w:lang w:val="en-GB"/>
        </w:rPr>
      </w:pPr>
    </w:p>
    <w:p w14:paraId="0F5BB0F0" w14:textId="77777777" w:rsidR="008755E5" w:rsidRPr="00FA0E48" w:rsidRDefault="00FA0E48" w:rsidP="008755E5">
      <w:pPr>
        <w:pStyle w:val="Text"/>
        <w:rPr>
          <w:lang w:val="fr-FR"/>
        </w:rPr>
      </w:pPr>
      <w:r>
        <w:rPr>
          <w:i/>
          <w:iCs/>
          <w:u w:val="single"/>
          <w:lang w:val="fr-FR"/>
        </w:rPr>
        <w:t>Remarque :</w:t>
      </w:r>
      <w:r>
        <w:rPr>
          <w:i/>
          <w:iCs/>
          <w:lang w:val="fr-FR"/>
        </w:rPr>
        <w:t xml:space="preserve"> Cette photo n'est qu'un aperçu. Pour une intégration dans des publications, veuillez utiliser le photo en résolution 300 dpi qui est à votre disposition en téléchargement sur les sites Internet du </w:t>
      </w:r>
      <w:r w:rsidRPr="00FA0E48">
        <w:rPr>
          <w:i/>
          <w:iCs/>
          <w:lang w:val="fr-FR"/>
        </w:rPr>
        <w:t>Wirtgen Group</w:t>
      </w:r>
      <w:r>
        <w:rPr>
          <w:i/>
          <w:iCs/>
          <w:lang w:val="fr-FR"/>
        </w:rPr>
        <w:t>.</w:t>
      </w:r>
    </w:p>
    <w:p w14:paraId="4B9F9D5C" w14:textId="77777777" w:rsidR="008755E5" w:rsidRPr="00FA0E48" w:rsidRDefault="008755E5" w:rsidP="00690D7C">
      <w:pPr>
        <w:rPr>
          <w:sz w:val="22"/>
          <w:lang w:val="fr-FR"/>
        </w:rPr>
      </w:pPr>
    </w:p>
    <w:p w14:paraId="4564B8C6" w14:textId="77777777" w:rsidR="008755E5" w:rsidRPr="00FA0E48" w:rsidRDefault="008755E5" w:rsidP="008755E5">
      <w:pPr>
        <w:pStyle w:val="Text"/>
        <w:rPr>
          <w:lang w:val="fr-FR"/>
        </w:rPr>
      </w:pPr>
    </w:p>
    <w:tbl>
      <w:tblPr>
        <w:tblStyle w:val="Basic"/>
        <w:tblW w:w="0" w:type="auto"/>
        <w:tblLook w:val="04A0" w:firstRow="1" w:lastRow="0" w:firstColumn="1" w:lastColumn="0" w:noHBand="0" w:noVBand="1"/>
      </w:tblPr>
      <w:tblGrid>
        <w:gridCol w:w="4778"/>
        <w:gridCol w:w="4746"/>
      </w:tblGrid>
      <w:tr w:rsidR="00B4063F" w14:paraId="15979582"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4411626A" w14:textId="77777777" w:rsidR="008755E5" w:rsidRPr="00E04039" w:rsidRDefault="00FA0E48" w:rsidP="008E7B5E">
            <w:pPr>
              <w:pStyle w:val="HeadlineKontakte"/>
            </w:pPr>
            <w:r>
              <w:rPr>
                <w:bCs/>
                <w:caps w:val="0"/>
                <w:szCs w:val="22"/>
                <w:lang w:val="fr-FR"/>
              </w:rPr>
              <w:t>Pour plus d'informations</w:t>
            </w:r>
            <w:r>
              <w:rPr>
                <w:bCs/>
                <w:lang w:val="fr-FR"/>
              </w:rPr>
              <w:t xml:space="preserve"> </w:t>
            </w:r>
          </w:p>
          <w:p w14:paraId="69F95838" w14:textId="77777777" w:rsidR="008755E5" w:rsidRPr="00E04039" w:rsidRDefault="00FA0E48" w:rsidP="008E7B5E">
            <w:pPr>
              <w:pStyle w:val="HeadlineKontakte"/>
            </w:pPr>
            <w:r>
              <w:rPr>
                <w:bCs/>
                <w:caps w:val="0"/>
                <w:szCs w:val="22"/>
                <w:lang w:val="fr-FR"/>
              </w:rPr>
              <w:t>adressez-vous à</w:t>
            </w:r>
            <w:r>
              <w:rPr>
                <w:bCs/>
                <w:lang w:val="fr-FR"/>
              </w:rPr>
              <w:t> :</w:t>
            </w:r>
          </w:p>
          <w:p w14:paraId="1DBA42C6" w14:textId="77777777" w:rsidR="008755E5" w:rsidRPr="00E04039" w:rsidRDefault="00FA0E48" w:rsidP="008E7B5E">
            <w:pPr>
              <w:pStyle w:val="Text"/>
            </w:pPr>
            <w:r>
              <w:rPr>
                <w:lang w:val="fr-FR"/>
              </w:rPr>
              <w:t>WIRTGEN GROUP</w:t>
            </w:r>
          </w:p>
          <w:p w14:paraId="0DA06506" w14:textId="77777777" w:rsidR="008755E5" w:rsidRPr="00E04039" w:rsidRDefault="00FA0E48" w:rsidP="008E7B5E">
            <w:pPr>
              <w:pStyle w:val="Text"/>
            </w:pPr>
            <w:r>
              <w:rPr>
                <w:lang w:val="fr-FR"/>
              </w:rPr>
              <w:t>Public Relations</w:t>
            </w:r>
          </w:p>
          <w:p w14:paraId="5D504868" w14:textId="77777777" w:rsidR="008755E5" w:rsidRPr="00E04039" w:rsidRDefault="00FA0E48" w:rsidP="008E7B5E">
            <w:pPr>
              <w:pStyle w:val="Text"/>
            </w:pPr>
            <w:r>
              <w:rPr>
                <w:lang w:val="fr-FR"/>
              </w:rPr>
              <w:t>Reinhard-Wirtgen-Straße 2</w:t>
            </w:r>
          </w:p>
          <w:p w14:paraId="6BF6A495" w14:textId="77777777" w:rsidR="008755E5" w:rsidRPr="00E04039" w:rsidRDefault="00FA0E48" w:rsidP="008E7B5E">
            <w:pPr>
              <w:pStyle w:val="Text"/>
            </w:pPr>
            <w:r>
              <w:rPr>
                <w:lang w:val="fr-FR"/>
              </w:rPr>
              <w:t>53578 Windhagen</w:t>
            </w:r>
          </w:p>
          <w:p w14:paraId="7014CA0F" w14:textId="77777777" w:rsidR="008755E5" w:rsidRPr="00E04039" w:rsidRDefault="00FA0E48" w:rsidP="008E7B5E">
            <w:pPr>
              <w:pStyle w:val="Text"/>
            </w:pPr>
            <w:r>
              <w:rPr>
                <w:lang w:val="fr-FR"/>
              </w:rPr>
              <w:t>Allemagne</w:t>
            </w:r>
          </w:p>
          <w:p w14:paraId="68988ADF" w14:textId="77777777" w:rsidR="008755E5" w:rsidRPr="00E04039" w:rsidRDefault="008755E5" w:rsidP="008E7B5E">
            <w:pPr>
              <w:pStyle w:val="Text"/>
            </w:pPr>
          </w:p>
          <w:p w14:paraId="3F147CBB" w14:textId="77777777" w:rsidR="002603EC" w:rsidRPr="00696417" w:rsidRDefault="00FA0E48" w:rsidP="008E7B5E">
            <w:pPr>
              <w:pStyle w:val="Text"/>
              <w:rPr>
                <w:color w:val="000000" w:themeColor="text1"/>
              </w:rPr>
            </w:pPr>
            <w:r>
              <w:rPr>
                <w:lang w:val="fr-FR"/>
              </w:rPr>
              <w:t xml:space="preserve">Téléphone : +49 (0) 2645 131 </w:t>
            </w:r>
            <w:r>
              <w:rPr>
                <w:color w:val="000000" w:themeColor="text1"/>
                <w:lang w:val="fr-FR"/>
              </w:rPr>
              <w:t xml:space="preserve">– 1966 </w:t>
            </w:r>
          </w:p>
          <w:p w14:paraId="1001E51B" w14:textId="77777777" w:rsidR="008755E5" w:rsidRPr="00E04039" w:rsidRDefault="00FA0E48" w:rsidP="008E7B5E">
            <w:pPr>
              <w:pStyle w:val="Text"/>
            </w:pPr>
            <w:r>
              <w:rPr>
                <w:lang w:val="fr-FR"/>
              </w:rPr>
              <w:t>Fax : +49 (0) 2645 131 – 499</w:t>
            </w:r>
          </w:p>
          <w:p w14:paraId="33BF081D" w14:textId="77777777" w:rsidR="008755E5" w:rsidRPr="00E04039" w:rsidRDefault="00FA0E48" w:rsidP="008E7B5E">
            <w:pPr>
              <w:pStyle w:val="Text"/>
            </w:pPr>
            <w:r>
              <w:rPr>
                <w:lang w:val="fr-FR"/>
              </w:rPr>
              <w:t>E-mail : PR@wirtgen-group.com</w:t>
            </w:r>
          </w:p>
          <w:p w14:paraId="42A70911" w14:textId="77777777" w:rsidR="002D2EE5" w:rsidRPr="00407E4E" w:rsidRDefault="00FA0E48" w:rsidP="008E7B5E">
            <w:pPr>
              <w:pStyle w:val="Text"/>
            </w:pPr>
            <w:r>
              <w:rPr>
                <w:lang w:val="fr-FR"/>
              </w:rPr>
              <w:t>www.wirtgen-group.com</w:t>
            </w:r>
          </w:p>
        </w:tc>
        <w:tc>
          <w:tcPr>
            <w:tcW w:w="4832" w:type="dxa"/>
            <w:tcBorders>
              <w:left w:val="single" w:sz="48" w:space="0" w:color="FFFFFF" w:themeColor="background1"/>
            </w:tcBorders>
          </w:tcPr>
          <w:p w14:paraId="1D13A46C" w14:textId="77777777" w:rsidR="008755E5" w:rsidRPr="00E04039" w:rsidRDefault="008755E5" w:rsidP="008E7B5E">
            <w:pPr>
              <w:pStyle w:val="Text"/>
            </w:pPr>
          </w:p>
        </w:tc>
      </w:tr>
    </w:tbl>
    <w:p w14:paraId="734F60A2" w14:textId="77777777" w:rsidR="00696417" w:rsidRDefault="00696417" w:rsidP="00696417">
      <w:pPr>
        <w:spacing w:line="280" w:lineRule="atLeast"/>
        <w:jc w:val="both"/>
      </w:pPr>
    </w:p>
    <w:p w14:paraId="473B20D6" w14:textId="77777777" w:rsidR="009E470F" w:rsidRDefault="009E470F" w:rsidP="00696417">
      <w:pPr>
        <w:spacing w:line="280" w:lineRule="atLeast"/>
        <w:jc w:val="both"/>
      </w:pPr>
    </w:p>
    <w:p w14:paraId="4267807E" w14:textId="77777777" w:rsidR="009E470F" w:rsidRDefault="009E470F" w:rsidP="00696417">
      <w:pPr>
        <w:spacing w:line="280" w:lineRule="atLeast"/>
        <w:jc w:val="both"/>
      </w:pPr>
    </w:p>
    <w:p w14:paraId="17B937F2" w14:textId="77777777" w:rsidR="009E470F" w:rsidRDefault="009E470F" w:rsidP="00696417">
      <w:pPr>
        <w:spacing w:line="280" w:lineRule="atLeast"/>
        <w:jc w:val="both"/>
      </w:pPr>
    </w:p>
    <w:sectPr w:rsidR="009E470F"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69318" w14:textId="77777777" w:rsidR="00110E7F" w:rsidRDefault="00110E7F">
      <w:r>
        <w:separator/>
      </w:r>
    </w:p>
  </w:endnote>
  <w:endnote w:type="continuationSeparator" w:id="0">
    <w:p w14:paraId="78F4EA08" w14:textId="77777777" w:rsidR="00110E7F" w:rsidRDefault="00110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30689" w14:textId="77777777" w:rsidR="00A40E62" w:rsidRDefault="00A40E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B4063F" w14:paraId="1122699D" w14:textId="77777777" w:rsidTr="00723F4F">
      <w:trPr>
        <w:trHeight w:hRule="exact" w:val="227"/>
      </w:trPr>
      <w:tc>
        <w:tcPr>
          <w:tcW w:w="8364" w:type="dxa"/>
          <w:shd w:val="clear" w:color="auto" w:fill="auto"/>
        </w:tcPr>
        <w:p w14:paraId="4DE1F9C7" w14:textId="77777777" w:rsidR="00533132" w:rsidRPr="00723F4F" w:rsidRDefault="00FA0E48" w:rsidP="00723F4F">
          <w:pPr>
            <w:pStyle w:val="Kolumnentitel"/>
            <w:rPr>
              <w:szCs w:val="20"/>
            </w:rPr>
          </w:pPr>
          <w:r>
            <w:rPr>
              <w:rStyle w:val="MittleresRaster11"/>
              <w:szCs w:val="20"/>
              <w:lang w:val="fr-FR"/>
            </w:rPr>
            <w:t xml:space="preserve">     </w:t>
          </w:r>
        </w:p>
      </w:tc>
      <w:tc>
        <w:tcPr>
          <w:tcW w:w="1160" w:type="dxa"/>
          <w:shd w:val="clear" w:color="auto" w:fill="auto"/>
        </w:tcPr>
        <w:p w14:paraId="71381FA1" w14:textId="77777777" w:rsidR="00533132" w:rsidRPr="00723F4F" w:rsidRDefault="00FA0E48"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03A64E7" w14:textId="77777777" w:rsidR="00533132" w:rsidRDefault="00FA0E48">
    <w:pPr>
      <w:pStyle w:val="Fuzeile"/>
    </w:pPr>
    <w:r>
      <w:rPr>
        <w:noProof/>
        <w:lang w:val="fr-FR"/>
      </w:rPr>
      <mc:AlternateContent>
        <mc:Choice Requires="wps">
          <w:drawing>
            <wp:anchor distT="0" distB="0" distL="114300" distR="114300" simplePos="0" relativeHeight="251664384" behindDoc="0" locked="0" layoutInCell="1" allowOverlap="1" wp14:anchorId="7746E050" wp14:editId="75184715">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5408" fillcolor="#41535d" stroked="f" strokeweight="2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B4063F" w14:paraId="32F00707" w14:textId="77777777" w:rsidTr="00723F4F">
      <w:tc>
        <w:tcPr>
          <w:tcW w:w="9664" w:type="dxa"/>
          <w:shd w:val="clear" w:color="auto" w:fill="auto"/>
        </w:tcPr>
        <w:p w14:paraId="701363FE" w14:textId="77777777" w:rsidR="00533132" w:rsidRPr="00723F4F" w:rsidRDefault="00FA0E48"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3D4A65D8" w14:textId="77777777" w:rsidR="00533132" w:rsidRDefault="00FA0E48">
    <w:pPr>
      <w:pStyle w:val="Fuzeile"/>
    </w:pPr>
    <w:r>
      <w:rPr>
        <w:noProof/>
        <w:lang w:val="fr-FR"/>
      </w:rPr>
      <mc:AlternateContent>
        <mc:Choice Requires="wps">
          <w:drawing>
            <wp:anchor distT="0" distB="0" distL="114300" distR="114300" simplePos="0" relativeHeight="251662336" behindDoc="0" locked="0" layoutInCell="1" allowOverlap="1" wp14:anchorId="589864F4" wp14:editId="6965C00D">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3360"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0714A" w14:textId="77777777" w:rsidR="00110E7F" w:rsidRDefault="00110E7F">
      <w:r>
        <w:separator/>
      </w:r>
    </w:p>
  </w:footnote>
  <w:footnote w:type="continuationSeparator" w:id="0">
    <w:p w14:paraId="6B720E5F" w14:textId="77777777" w:rsidR="00110E7F" w:rsidRDefault="00110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B92BF" w14:textId="77777777" w:rsidR="00A40E62" w:rsidRDefault="00FA0E48">
    <w:pPr>
      <w:pStyle w:val="Kopfzeile"/>
    </w:pPr>
    <w:r>
      <w:rPr>
        <w:noProof/>
        <w:lang w:val="fr-FR"/>
      </w:rPr>
      <mc:AlternateContent>
        <mc:Choice Requires="wps">
          <w:drawing>
            <wp:anchor distT="0" distB="0" distL="0" distR="0" simplePos="0" relativeHeight="251669504" behindDoc="0" locked="0" layoutInCell="1" allowOverlap="1" wp14:anchorId="4113C34A" wp14:editId="2E37BEE2">
              <wp:simplePos x="0" y="0"/>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85A3A3" w14:textId="77777777" w:rsidR="00696417" w:rsidRPr="00696417" w:rsidRDefault="00FA0E48">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6"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70528" filled="f" stroked="f">
              <v:textbox style="mso-fit-shape-to-text:t" inset="0,0,15pt,0">
                <w:txbxContent>
                  <w:p w:rsidR="00696417" w:rsidRPr="00696417" w14:paraId="69D6B6CF" w14:textId="6D301FE1">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EA47F" w14:textId="77777777" w:rsidR="00533132" w:rsidRPr="00533132" w:rsidRDefault="00FA0E48" w:rsidP="00533132">
    <w:pPr>
      <w:pStyle w:val="Kopfzeile"/>
    </w:pPr>
    <w:r>
      <w:rPr>
        <w:noProof/>
        <w:lang w:val="fr-FR"/>
      </w:rPr>
      <mc:AlternateContent>
        <mc:Choice Requires="wps">
          <w:drawing>
            <wp:anchor distT="0" distB="0" distL="0" distR="0" simplePos="0" relativeHeight="251671552" behindDoc="0" locked="0" layoutInCell="1" allowOverlap="1" wp14:anchorId="2BA2A524" wp14:editId="19A62308">
              <wp:simplePos x="0" y="0"/>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9DA068" w14:textId="77777777" w:rsidR="00696417" w:rsidRPr="00696417" w:rsidRDefault="00FA0E48">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7"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72576" filled="f" stroked="f">
              <v:textbox style="mso-fit-shape-to-text:t" inset="0,0,15pt,0">
                <w:txbxContent>
                  <w:p w:rsidR="00696417" w:rsidRPr="00696417" w14:paraId="11BB04F5" w14:textId="4EB9F748">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v:shape>
          </w:pict>
        </mc:Fallback>
      </mc:AlternateContent>
    </w:r>
    <w:r>
      <w:rPr>
        <w:noProof/>
        <w:lang w:val="fr-FR"/>
      </w:rPr>
      <w:drawing>
        <wp:anchor distT="0" distB="0" distL="114300" distR="114300" simplePos="0" relativeHeight="251666432" behindDoc="1" locked="0" layoutInCell="1" allowOverlap="1" wp14:anchorId="159AB24A" wp14:editId="6AB68630">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498921"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80A01" w14:textId="77777777" w:rsidR="00533132" w:rsidRDefault="00FA0E48">
    <w:pPr>
      <w:pStyle w:val="Kopfzeile"/>
    </w:pPr>
    <w:r>
      <w:rPr>
        <w:noProof/>
        <w:lang w:val="fr-FR"/>
      </w:rPr>
      <mc:AlternateContent>
        <mc:Choice Requires="wps">
          <w:drawing>
            <wp:anchor distT="0" distB="0" distL="0" distR="0" simplePos="0" relativeHeight="251667456" behindDoc="0" locked="0" layoutInCell="1" allowOverlap="1" wp14:anchorId="3F6BF1BB" wp14:editId="2B256B93">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F9F1B2" w14:textId="77777777" w:rsidR="00696417" w:rsidRPr="00696417" w:rsidRDefault="00FA0E48">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696417" w:rsidRPr="00696417" w14:paraId="3D7D0B2E" w14:textId="0122BF21">
                    <w:pPr>
                      <w:rPr>
                        <w:rFonts w:ascii="Calibri" w:eastAsia="Calibri" w:hAnsi="Calibri" w:cs="Calibri"/>
                        <w:color w:val="FF0000"/>
                        <w:sz w:val="20"/>
                        <w:szCs w:val="20"/>
                      </w:rPr>
                      <w:bidi w:val="0"/>
                    </w:pPr>
                    <w:r>
                      <w:rPr>
                        <w:rFonts w:ascii="Calibri" w:cs="Calibri" w:eastAsia="Calibri" w:hAnsi="Calibri"/>
                        <w:color w:val="FF0000"/>
                        <w:sz w:val="20"/>
                        <w:szCs w:val="20"/>
                        <w:lang w:val="fr-fr"/>
                        <w:b w:val="0"/>
                        <w:bCs w:val="0"/>
                        <w:i w:val="0"/>
                        <w:iCs w:val="0"/>
                        <w:u w:val="none"/>
                        <w:vertAlign w:val="baseline"/>
                        <w:rtl w:val="0"/>
                      </w:rPr>
                      <w:t xml:space="preserve">Public</w:t>
                    </w:r>
                  </w:p>
                </w:txbxContent>
              </v:textbox>
              <w10:wrap type="square"/>
            </v:shape>
          </w:pict>
        </mc:Fallback>
      </mc:AlternateContent>
    </w:r>
    <w:r>
      <w:rPr>
        <w:noProof/>
        <w:lang w:val="fr-FR"/>
      </w:rPr>
      <mc:AlternateContent>
        <mc:Choice Requires="wps">
          <w:drawing>
            <wp:anchor distT="0" distB="0" distL="114300" distR="114300" simplePos="0" relativeHeight="251660288" behindDoc="0" locked="0" layoutInCell="1" allowOverlap="1" wp14:anchorId="559CBBAB" wp14:editId="78D88415">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fr-FR"/>
      </w:rPr>
      <w:drawing>
        <wp:anchor distT="0" distB="0" distL="114300" distR="114300" simplePos="0" relativeHeight="251659264" behindDoc="0" locked="0" layoutInCell="1" allowOverlap="1" wp14:anchorId="2550083A" wp14:editId="0A58507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988168"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8240" behindDoc="0" locked="0" layoutInCell="1" allowOverlap="1" wp14:anchorId="7912E1CE" wp14:editId="646D851C">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43909"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500pt;height:1500pt" o:bullet="t">
        <v:imagedata r:id="rId1" o:title="AZ_04a"/>
      </v:shape>
    </w:pict>
  </w:numPicBullet>
  <w:numPicBullet w:numPicBulletId="1">
    <w:pict>
      <v:shape id="_x0000_i11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4B5A1D14">
      <w:numFmt w:val="bullet"/>
      <w:lvlText w:val=""/>
      <w:lvlJc w:val="left"/>
      <w:pPr>
        <w:ind w:left="720" w:hanging="360"/>
      </w:pPr>
      <w:rPr>
        <w:rFonts w:ascii="Wingdings" w:eastAsiaTheme="minorHAnsi" w:hAnsi="Wingdings" w:cstheme="minorBidi" w:hint="default"/>
      </w:rPr>
    </w:lvl>
    <w:lvl w:ilvl="1" w:tplc="EBA6C844" w:tentative="1">
      <w:start w:val="1"/>
      <w:numFmt w:val="bullet"/>
      <w:lvlText w:val="o"/>
      <w:lvlJc w:val="left"/>
      <w:pPr>
        <w:ind w:left="1440" w:hanging="360"/>
      </w:pPr>
      <w:rPr>
        <w:rFonts w:ascii="Courier New" w:hAnsi="Courier New" w:cs="Courier New" w:hint="default"/>
      </w:rPr>
    </w:lvl>
    <w:lvl w:ilvl="2" w:tplc="5BE61A72" w:tentative="1">
      <w:start w:val="1"/>
      <w:numFmt w:val="bullet"/>
      <w:lvlText w:val=""/>
      <w:lvlJc w:val="left"/>
      <w:pPr>
        <w:ind w:left="2160" w:hanging="360"/>
      </w:pPr>
      <w:rPr>
        <w:rFonts w:ascii="Wingdings" w:hAnsi="Wingdings" w:hint="default"/>
      </w:rPr>
    </w:lvl>
    <w:lvl w:ilvl="3" w:tplc="C79409FA" w:tentative="1">
      <w:start w:val="1"/>
      <w:numFmt w:val="bullet"/>
      <w:lvlText w:val=""/>
      <w:lvlJc w:val="left"/>
      <w:pPr>
        <w:ind w:left="2880" w:hanging="360"/>
      </w:pPr>
      <w:rPr>
        <w:rFonts w:ascii="Symbol" w:hAnsi="Symbol" w:hint="default"/>
      </w:rPr>
    </w:lvl>
    <w:lvl w:ilvl="4" w:tplc="3D344F5A" w:tentative="1">
      <w:start w:val="1"/>
      <w:numFmt w:val="bullet"/>
      <w:lvlText w:val="o"/>
      <w:lvlJc w:val="left"/>
      <w:pPr>
        <w:ind w:left="3600" w:hanging="360"/>
      </w:pPr>
      <w:rPr>
        <w:rFonts w:ascii="Courier New" w:hAnsi="Courier New" w:cs="Courier New" w:hint="default"/>
      </w:rPr>
    </w:lvl>
    <w:lvl w:ilvl="5" w:tplc="7F3A66B4" w:tentative="1">
      <w:start w:val="1"/>
      <w:numFmt w:val="bullet"/>
      <w:lvlText w:val=""/>
      <w:lvlJc w:val="left"/>
      <w:pPr>
        <w:ind w:left="4320" w:hanging="360"/>
      </w:pPr>
      <w:rPr>
        <w:rFonts w:ascii="Wingdings" w:hAnsi="Wingdings" w:hint="default"/>
      </w:rPr>
    </w:lvl>
    <w:lvl w:ilvl="6" w:tplc="5D72543A" w:tentative="1">
      <w:start w:val="1"/>
      <w:numFmt w:val="bullet"/>
      <w:lvlText w:val=""/>
      <w:lvlJc w:val="left"/>
      <w:pPr>
        <w:ind w:left="5040" w:hanging="360"/>
      </w:pPr>
      <w:rPr>
        <w:rFonts w:ascii="Symbol" w:hAnsi="Symbol" w:hint="default"/>
      </w:rPr>
    </w:lvl>
    <w:lvl w:ilvl="7" w:tplc="99DE7EA4" w:tentative="1">
      <w:start w:val="1"/>
      <w:numFmt w:val="bullet"/>
      <w:lvlText w:val="o"/>
      <w:lvlJc w:val="left"/>
      <w:pPr>
        <w:ind w:left="5760" w:hanging="360"/>
      </w:pPr>
      <w:rPr>
        <w:rFonts w:ascii="Courier New" w:hAnsi="Courier New" w:cs="Courier New" w:hint="default"/>
      </w:rPr>
    </w:lvl>
    <w:lvl w:ilvl="8" w:tplc="F6CCA410"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782266158">
    <w:abstractNumId w:val="9"/>
  </w:num>
  <w:num w:numId="2" w16cid:durableId="503595141">
    <w:abstractNumId w:val="9"/>
  </w:num>
  <w:num w:numId="3" w16cid:durableId="1370840512">
    <w:abstractNumId w:val="9"/>
  </w:num>
  <w:num w:numId="4" w16cid:durableId="1856535005">
    <w:abstractNumId w:val="9"/>
  </w:num>
  <w:num w:numId="5" w16cid:durableId="1252660122">
    <w:abstractNumId w:val="9"/>
  </w:num>
  <w:num w:numId="6" w16cid:durableId="390999882">
    <w:abstractNumId w:val="2"/>
  </w:num>
  <w:num w:numId="7" w16cid:durableId="709190006">
    <w:abstractNumId w:val="2"/>
  </w:num>
  <w:num w:numId="8" w16cid:durableId="1164011816">
    <w:abstractNumId w:val="2"/>
  </w:num>
  <w:num w:numId="9" w16cid:durableId="45954264">
    <w:abstractNumId w:val="2"/>
  </w:num>
  <w:num w:numId="10" w16cid:durableId="681009011">
    <w:abstractNumId w:val="2"/>
  </w:num>
  <w:num w:numId="11" w16cid:durableId="1485198317">
    <w:abstractNumId w:val="5"/>
  </w:num>
  <w:num w:numId="12" w16cid:durableId="1882589855">
    <w:abstractNumId w:val="5"/>
  </w:num>
  <w:num w:numId="13" w16cid:durableId="1067992048">
    <w:abstractNumId w:val="4"/>
  </w:num>
  <w:num w:numId="14" w16cid:durableId="134379001">
    <w:abstractNumId w:val="4"/>
  </w:num>
  <w:num w:numId="15" w16cid:durableId="237836712">
    <w:abstractNumId w:val="4"/>
  </w:num>
  <w:num w:numId="16" w16cid:durableId="31345800">
    <w:abstractNumId w:val="4"/>
  </w:num>
  <w:num w:numId="17" w16cid:durableId="1388727720">
    <w:abstractNumId w:val="4"/>
  </w:num>
  <w:num w:numId="18" w16cid:durableId="1873613833">
    <w:abstractNumId w:val="1"/>
  </w:num>
  <w:num w:numId="19" w16cid:durableId="2127851854">
    <w:abstractNumId w:val="3"/>
  </w:num>
  <w:num w:numId="20" w16cid:durableId="1978955361">
    <w:abstractNumId w:val="8"/>
  </w:num>
  <w:num w:numId="21" w16cid:durableId="21128466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0814496">
    <w:abstractNumId w:val="0"/>
  </w:num>
  <w:num w:numId="23" w16cid:durableId="21120490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314017">
    <w:abstractNumId w:val="6"/>
  </w:num>
  <w:num w:numId="25" w16cid:durableId="2004790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918646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35CE2"/>
    <w:rsid w:val="00040087"/>
    <w:rsid w:val="00042106"/>
    <w:rsid w:val="0004479F"/>
    <w:rsid w:val="0005285B"/>
    <w:rsid w:val="00055529"/>
    <w:rsid w:val="00066793"/>
    <w:rsid w:val="00066D09"/>
    <w:rsid w:val="0007706F"/>
    <w:rsid w:val="00077EA4"/>
    <w:rsid w:val="00091312"/>
    <w:rsid w:val="0009665C"/>
    <w:rsid w:val="000A36D9"/>
    <w:rsid w:val="000C692F"/>
    <w:rsid w:val="000D15C3"/>
    <w:rsid w:val="000D18FA"/>
    <w:rsid w:val="000E24F8"/>
    <w:rsid w:val="000E5738"/>
    <w:rsid w:val="000F2DD1"/>
    <w:rsid w:val="000F4FF6"/>
    <w:rsid w:val="00103205"/>
    <w:rsid w:val="001100DC"/>
    <w:rsid w:val="00110E7F"/>
    <w:rsid w:val="00115EF6"/>
    <w:rsid w:val="0011795C"/>
    <w:rsid w:val="001201DE"/>
    <w:rsid w:val="0012026F"/>
    <w:rsid w:val="00130601"/>
    <w:rsid w:val="00132055"/>
    <w:rsid w:val="00140BDD"/>
    <w:rsid w:val="00151530"/>
    <w:rsid w:val="001609A5"/>
    <w:rsid w:val="001613A6"/>
    <w:rsid w:val="001614F0"/>
    <w:rsid w:val="001616F4"/>
    <w:rsid w:val="00162F87"/>
    <w:rsid w:val="00164A78"/>
    <w:rsid w:val="001706D1"/>
    <w:rsid w:val="00177B3A"/>
    <w:rsid w:val="0018021A"/>
    <w:rsid w:val="001844A9"/>
    <w:rsid w:val="00194FB1"/>
    <w:rsid w:val="001A1DE8"/>
    <w:rsid w:val="001A6A9A"/>
    <w:rsid w:val="001A6BD8"/>
    <w:rsid w:val="001B16BB"/>
    <w:rsid w:val="001B5A7B"/>
    <w:rsid w:val="001C1A3E"/>
    <w:rsid w:val="001D0CB5"/>
    <w:rsid w:val="001E1AD1"/>
    <w:rsid w:val="001E50EC"/>
    <w:rsid w:val="00217B9D"/>
    <w:rsid w:val="002347A9"/>
    <w:rsid w:val="00250808"/>
    <w:rsid w:val="00253A2E"/>
    <w:rsid w:val="002603EC"/>
    <w:rsid w:val="00272351"/>
    <w:rsid w:val="00273634"/>
    <w:rsid w:val="00275BC2"/>
    <w:rsid w:val="002932E2"/>
    <w:rsid w:val="0029634D"/>
    <w:rsid w:val="002C7D0B"/>
    <w:rsid w:val="002D065C"/>
    <w:rsid w:val="002D0780"/>
    <w:rsid w:val="002D1DBD"/>
    <w:rsid w:val="002D2EE5"/>
    <w:rsid w:val="002E354E"/>
    <w:rsid w:val="002E765F"/>
    <w:rsid w:val="002F108B"/>
    <w:rsid w:val="002F4198"/>
    <w:rsid w:val="002F5818"/>
    <w:rsid w:val="0030316D"/>
    <w:rsid w:val="0032774C"/>
    <w:rsid w:val="00332B24"/>
    <w:rsid w:val="0034191A"/>
    <w:rsid w:val="00343CC7"/>
    <w:rsid w:val="0036561D"/>
    <w:rsid w:val="003665BE"/>
    <w:rsid w:val="0036743C"/>
    <w:rsid w:val="00384A08"/>
    <w:rsid w:val="00387A84"/>
    <w:rsid w:val="003967E5"/>
    <w:rsid w:val="003A753A"/>
    <w:rsid w:val="003E1CB6"/>
    <w:rsid w:val="003E3CF6"/>
    <w:rsid w:val="003E759F"/>
    <w:rsid w:val="003E7853"/>
    <w:rsid w:val="00400FD9"/>
    <w:rsid w:val="004016F7"/>
    <w:rsid w:val="00403373"/>
    <w:rsid w:val="00406C81"/>
    <w:rsid w:val="004074D6"/>
    <w:rsid w:val="00407E4E"/>
    <w:rsid w:val="00412545"/>
    <w:rsid w:val="004221A0"/>
    <w:rsid w:val="00426B30"/>
    <w:rsid w:val="00430098"/>
    <w:rsid w:val="00430BB0"/>
    <w:rsid w:val="00444835"/>
    <w:rsid w:val="00451363"/>
    <w:rsid w:val="004633C8"/>
    <w:rsid w:val="00476100"/>
    <w:rsid w:val="00487BFC"/>
    <w:rsid w:val="004B0B2D"/>
    <w:rsid w:val="004B6341"/>
    <w:rsid w:val="004C4563"/>
    <w:rsid w:val="004D23D0"/>
    <w:rsid w:val="004D2AB9"/>
    <w:rsid w:val="004D2BE0"/>
    <w:rsid w:val="004E4B60"/>
    <w:rsid w:val="004E6EF5"/>
    <w:rsid w:val="005040C9"/>
    <w:rsid w:val="00506409"/>
    <w:rsid w:val="005069F4"/>
    <w:rsid w:val="005217F1"/>
    <w:rsid w:val="00530E32"/>
    <w:rsid w:val="00533132"/>
    <w:rsid w:val="00536D91"/>
    <w:rsid w:val="00544DC2"/>
    <w:rsid w:val="005649F4"/>
    <w:rsid w:val="0056595A"/>
    <w:rsid w:val="005710C8"/>
    <w:rsid w:val="005711A3"/>
    <w:rsid w:val="00571A5C"/>
    <w:rsid w:val="00573B2B"/>
    <w:rsid w:val="005776E9"/>
    <w:rsid w:val="0058443C"/>
    <w:rsid w:val="005A06B5"/>
    <w:rsid w:val="005A4F04"/>
    <w:rsid w:val="005B5793"/>
    <w:rsid w:val="005D7DD7"/>
    <w:rsid w:val="00600D40"/>
    <w:rsid w:val="0060303F"/>
    <w:rsid w:val="00605DF2"/>
    <w:rsid w:val="006063D4"/>
    <w:rsid w:val="00607C67"/>
    <w:rsid w:val="00613489"/>
    <w:rsid w:val="0062765B"/>
    <w:rsid w:val="006330A2"/>
    <w:rsid w:val="00634D99"/>
    <w:rsid w:val="00642BC1"/>
    <w:rsid w:val="00642EB6"/>
    <w:rsid w:val="006433E2"/>
    <w:rsid w:val="00643A97"/>
    <w:rsid w:val="00651E5D"/>
    <w:rsid w:val="00682B1A"/>
    <w:rsid w:val="00684ED9"/>
    <w:rsid w:val="00690D7C"/>
    <w:rsid w:val="00693907"/>
    <w:rsid w:val="00696417"/>
    <w:rsid w:val="006A3907"/>
    <w:rsid w:val="006A4DE6"/>
    <w:rsid w:val="006B3EEC"/>
    <w:rsid w:val="006D74AE"/>
    <w:rsid w:val="006D7EAC"/>
    <w:rsid w:val="006E0104"/>
    <w:rsid w:val="006F4F41"/>
    <w:rsid w:val="006F7602"/>
    <w:rsid w:val="00706E32"/>
    <w:rsid w:val="00722A17"/>
    <w:rsid w:val="00723F4F"/>
    <w:rsid w:val="0074130B"/>
    <w:rsid w:val="00755AE0"/>
    <w:rsid w:val="0075761B"/>
    <w:rsid w:val="00757B83"/>
    <w:rsid w:val="007638F3"/>
    <w:rsid w:val="00791A69"/>
    <w:rsid w:val="00794830"/>
    <w:rsid w:val="00797CAA"/>
    <w:rsid w:val="007C2658"/>
    <w:rsid w:val="007D40B2"/>
    <w:rsid w:val="007D59A2"/>
    <w:rsid w:val="007E20D0"/>
    <w:rsid w:val="007E3DAB"/>
    <w:rsid w:val="007F752D"/>
    <w:rsid w:val="008053B3"/>
    <w:rsid w:val="00820315"/>
    <w:rsid w:val="00821D93"/>
    <w:rsid w:val="00822E90"/>
    <w:rsid w:val="008320FB"/>
    <w:rsid w:val="00832921"/>
    <w:rsid w:val="008427F2"/>
    <w:rsid w:val="00843B45"/>
    <w:rsid w:val="00851843"/>
    <w:rsid w:val="00863129"/>
    <w:rsid w:val="0086560B"/>
    <w:rsid w:val="00866830"/>
    <w:rsid w:val="00874F2E"/>
    <w:rsid w:val="008755E5"/>
    <w:rsid w:val="00877147"/>
    <w:rsid w:val="00892F6F"/>
    <w:rsid w:val="00896F7E"/>
    <w:rsid w:val="008C2A29"/>
    <w:rsid w:val="008C2DB2"/>
    <w:rsid w:val="008D770E"/>
    <w:rsid w:val="008E7B5E"/>
    <w:rsid w:val="0090337E"/>
    <w:rsid w:val="009111FE"/>
    <w:rsid w:val="00915993"/>
    <w:rsid w:val="0092522B"/>
    <w:rsid w:val="009328FA"/>
    <w:rsid w:val="00936A78"/>
    <w:rsid w:val="00943606"/>
    <w:rsid w:val="00952853"/>
    <w:rsid w:val="00961EE1"/>
    <w:rsid w:val="009634DC"/>
    <w:rsid w:val="00963988"/>
    <w:rsid w:val="009646E4"/>
    <w:rsid w:val="00977EC3"/>
    <w:rsid w:val="009B211F"/>
    <w:rsid w:val="009B5204"/>
    <w:rsid w:val="009B7C05"/>
    <w:rsid w:val="009C2378"/>
    <w:rsid w:val="009C5A77"/>
    <w:rsid w:val="009C5D99"/>
    <w:rsid w:val="009D016F"/>
    <w:rsid w:val="009D48D9"/>
    <w:rsid w:val="009D7E60"/>
    <w:rsid w:val="009E251D"/>
    <w:rsid w:val="009E470F"/>
    <w:rsid w:val="009F10A8"/>
    <w:rsid w:val="009F4627"/>
    <w:rsid w:val="00A02F49"/>
    <w:rsid w:val="00A06278"/>
    <w:rsid w:val="00A119E2"/>
    <w:rsid w:val="00A171F4"/>
    <w:rsid w:val="00A1772D"/>
    <w:rsid w:val="00A177B2"/>
    <w:rsid w:val="00A24EFC"/>
    <w:rsid w:val="00A27B56"/>
    <w:rsid w:val="00A40E62"/>
    <w:rsid w:val="00A47556"/>
    <w:rsid w:val="00A51F29"/>
    <w:rsid w:val="00A56A89"/>
    <w:rsid w:val="00A636D6"/>
    <w:rsid w:val="00A71CF2"/>
    <w:rsid w:val="00A75A26"/>
    <w:rsid w:val="00A9565F"/>
    <w:rsid w:val="00A977CE"/>
    <w:rsid w:val="00AB52F9"/>
    <w:rsid w:val="00AB65B9"/>
    <w:rsid w:val="00AC5B80"/>
    <w:rsid w:val="00AD131F"/>
    <w:rsid w:val="00AD1802"/>
    <w:rsid w:val="00AD2A2A"/>
    <w:rsid w:val="00AD3048"/>
    <w:rsid w:val="00AD32D5"/>
    <w:rsid w:val="00AD70E4"/>
    <w:rsid w:val="00AF3B3A"/>
    <w:rsid w:val="00AF4E8E"/>
    <w:rsid w:val="00AF6569"/>
    <w:rsid w:val="00B00EE7"/>
    <w:rsid w:val="00B0129B"/>
    <w:rsid w:val="00B06265"/>
    <w:rsid w:val="00B14723"/>
    <w:rsid w:val="00B4063F"/>
    <w:rsid w:val="00B42872"/>
    <w:rsid w:val="00B5232A"/>
    <w:rsid w:val="00B55310"/>
    <w:rsid w:val="00B74F34"/>
    <w:rsid w:val="00B75188"/>
    <w:rsid w:val="00B83E69"/>
    <w:rsid w:val="00B85BDB"/>
    <w:rsid w:val="00B90F78"/>
    <w:rsid w:val="00BB34DD"/>
    <w:rsid w:val="00BD1058"/>
    <w:rsid w:val="00BD5391"/>
    <w:rsid w:val="00BD764C"/>
    <w:rsid w:val="00BF0505"/>
    <w:rsid w:val="00BF3DC6"/>
    <w:rsid w:val="00BF56B2"/>
    <w:rsid w:val="00BF5CD6"/>
    <w:rsid w:val="00C055AB"/>
    <w:rsid w:val="00C05746"/>
    <w:rsid w:val="00C11F95"/>
    <w:rsid w:val="00C136DF"/>
    <w:rsid w:val="00C16524"/>
    <w:rsid w:val="00C33978"/>
    <w:rsid w:val="00C36869"/>
    <w:rsid w:val="00C37F49"/>
    <w:rsid w:val="00C40627"/>
    <w:rsid w:val="00C42C59"/>
    <w:rsid w:val="00C457C3"/>
    <w:rsid w:val="00C50CB6"/>
    <w:rsid w:val="00C644CA"/>
    <w:rsid w:val="00C73005"/>
    <w:rsid w:val="00C85E18"/>
    <w:rsid w:val="00CA4A09"/>
    <w:rsid w:val="00CC787C"/>
    <w:rsid w:val="00CF36C9"/>
    <w:rsid w:val="00D00EC4"/>
    <w:rsid w:val="00D02017"/>
    <w:rsid w:val="00D10C6F"/>
    <w:rsid w:val="00D166AC"/>
    <w:rsid w:val="00D3141A"/>
    <w:rsid w:val="00D36BA2"/>
    <w:rsid w:val="00D37CF4"/>
    <w:rsid w:val="00D4487C"/>
    <w:rsid w:val="00D5734A"/>
    <w:rsid w:val="00D62ACD"/>
    <w:rsid w:val="00D65152"/>
    <w:rsid w:val="00D83224"/>
    <w:rsid w:val="00D95EAF"/>
    <w:rsid w:val="00DA0198"/>
    <w:rsid w:val="00DA0992"/>
    <w:rsid w:val="00DA0FAD"/>
    <w:rsid w:val="00DA6969"/>
    <w:rsid w:val="00DB2CFB"/>
    <w:rsid w:val="00DB375E"/>
    <w:rsid w:val="00DB4BB0"/>
    <w:rsid w:val="00DE461D"/>
    <w:rsid w:val="00DE6F8E"/>
    <w:rsid w:val="00DF708B"/>
    <w:rsid w:val="00E04039"/>
    <w:rsid w:val="00E14608"/>
    <w:rsid w:val="00E21E67"/>
    <w:rsid w:val="00E30EBF"/>
    <w:rsid w:val="00E316C0"/>
    <w:rsid w:val="00E46319"/>
    <w:rsid w:val="00E52D70"/>
    <w:rsid w:val="00E55534"/>
    <w:rsid w:val="00E7116D"/>
    <w:rsid w:val="00E7159E"/>
    <w:rsid w:val="00E85732"/>
    <w:rsid w:val="00E914D1"/>
    <w:rsid w:val="00E960D8"/>
    <w:rsid w:val="00ED7BB1"/>
    <w:rsid w:val="00EF3846"/>
    <w:rsid w:val="00EF512B"/>
    <w:rsid w:val="00F047EB"/>
    <w:rsid w:val="00F17DDE"/>
    <w:rsid w:val="00F20920"/>
    <w:rsid w:val="00F23212"/>
    <w:rsid w:val="00F32D33"/>
    <w:rsid w:val="00F33B16"/>
    <w:rsid w:val="00F34070"/>
    <w:rsid w:val="00F353EA"/>
    <w:rsid w:val="00F56318"/>
    <w:rsid w:val="00F56CC4"/>
    <w:rsid w:val="00F74479"/>
    <w:rsid w:val="00F75B79"/>
    <w:rsid w:val="00F82525"/>
    <w:rsid w:val="00F833AC"/>
    <w:rsid w:val="00F91E30"/>
    <w:rsid w:val="00F97FEA"/>
    <w:rsid w:val="00FA0E48"/>
    <w:rsid w:val="00FB60E1"/>
    <w:rsid w:val="00FD3768"/>
    <w:rsid w:val="00FF52AE"/>
    <w:rsid w:val="00FF7E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FA506"/>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CFB1-304B-4B61-845B-EF978C75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443</Words>
  <Characters>2795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6</cp:revision>
  <cp:lastPrinted>2022-04-19T11:26:00Z</cp:lastPrinted>
  <dcterms:created xsi:type="dcterms:W3CDTF">2022-11-23T08:20:00Z</dcterms:created>
  <dcterms:modified xsi:type="dcterms:W3CDTF">2023-02-07T08:36:00Z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d,10,11</vt:lpwstr>
  </property>
  <property fmtid="{D5CDD505-2E9C-101B-9397-08002B2CF9AE}" pid="4" name="ClassificationContentMarkingHeaderText">
    <vt:lpwstr>Public</vt:lpwstr>
  </property>
  <property fmtid="{D5CDD505-2E9C-101B-9397-08002B2CF9AE}" pid="5" name="MSIP_Label_df1a195f-122b-42dc-a2d3-71a1903dcdac_ActionId">
    <vt:lpwstr>e84233d9-6b8a-4bf8-ab04-834edb678e18</vt:lpwstr>
  </property>
  <property fmtid="{D5CDD505-2E9C-101B-9397-08002B2CF9AE}" pid="6" name="MSIP_Label_df1a195f-122b-42dc-a2d3-71a1903dcdac_ContentBits">
    <vt:lpwstr>1</vt:lpwstr>
  </property>
  <property fmtid="{D5CDD505-2E9C-101B-9397-08002B2CF9AE}" pid="7" name="MSIP_Label_df1a195f-122b-42dc-a2d3-71a1903dcdac_Enabled">
    <vt:lpwstr>true</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etDate">
    <vt:lpwstr>2022-04-27T08:36:09Z</vt:lpwstr>
  </property>
  <property fmtid="{D5CDD505-2E9C-101B-9397-08002B2CF9AE}" pid="11" name="MSIP_Label_df1a195f-122b-42dc-a2d3-71a1903dcdac_SiteId">
    <vt:lpwstr>4aa45fee-62ee-49ff-a377-c53bd72cd986</vt:lpwstr>
  </property>
</Properties>
</file>