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680A2" w14:textId="5EB385C1" w:rsidR="00217B9D" w:rsidRPr="004A0B22" w:rsidRDefault="00ED7BB1" w:rsidP="002F5818">
      <w:pPr>
        <w:pStyle w:val="1RoadNews"/>
        <w:rPr>
          <w:rFonts w:ascii="Verdana" w:hAnsi="Verdana"/>
          <w:b/>
          <w:bCs/>
          <w:sz w:val="40"/>
          <w:szCs w:val="40"/>
          <w:lang w:val="en-US"/>
        </w:rPr>
      </w:pPr>
      <w:r>
        <w:rPr>
          <w:rFonts w:ascii="Verdana" w:hAnsi="Verdana"/>
          <w:b/>
          <w:bCs/>
          <w:iCs w:val="0"/>
          <w:sz w:val="40"/>
          <w:szCs w:val="40"/>
          <w:lang w:val="it-IT"/>
        </w:rPr>
        <w:t>Kleemann | Frantoio ad urto mobile MOBIREX MR 100(i) NEO/ NEOe amplia la gamma di prodotti</w:t>
      </w:r>
    </w:p>
    <w:p w14:paraId="4E745DD4" w14:textId="77777777" w:rsidR="00A9565F" w:rsidRPr="004A0B22" w:rsidRDefault="00A9565F" w:rsidP="00BD5391">
      <w:pPr>
        <w:spacing w:line="276" w:lineRule="auto"/>
        <w:jc w:val="both"/>
        <w:rPr>
          <w:b/>
          <w:iCs/>
          <w:sz w:val="22"/>
          <w:lang w:val="en-US"/>
        </w:rPr>
      </w:pPr>
    </w:p>
    <w:p w14:paraId="46442E2A" w14:textId="13894D7E" w:rsidR="007B4241" w:rsidRPr="004A0B22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  <w:lang w:val="en-US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it-IT"/>
        </w:rPr>
        <w:t xml:space="preserve">La NEO Line è la nuova, potente classe compatta di </w:t>
      </w:r>
      <w:proofErr w:type="spellStart"/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it-IT"/>
        </w:rPr>
        <w:t>Kleemann</w:t>
      </w:r>
      <w:proofErr w:type="spellEnd"/>
    </w:p>
    <w:p w14:paraId="15E11949" w14:textId="77777777" w:rsidR="001C63E4" w:rsidRPr="004A0B22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  <w:lang w:val="en-US"/>
        </w:rPr>
      </w:pPr>
    </w:p>
    <w:p w14:paraId="15DD6EF0" w14:textId="2A7B0D91" w:rsidR="007B4241" w:rsidRPr="004A0B22" w:rsidRDefault="00A908E9" w:rsidP="007B424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en-US"/>
        </w:rPr>
      </w:pPr>
      <w:r>
        <w:rPr>
          <w:b/>
          <w:bCs/>
          <w:color w:val="000000" w:themeColor="text1"/>
          <w:sz w:val="22"/>
          <w:szCs w:val="22"/>
          <w:lang w:val="it-IT"/>
        </w:rPr>
        <w:t>Con il frantoio ad urto mobile MOBIREX MR</w:t>
      </w:r>
      <w:r>
        <w:rPr>
          <w:sz w:val="22"/>
          <w:szCs w:val="22"/>
          <w:lang w:val="it-IT"/>
        </w:rPr>
        <w:t> </w:t>
      </w:r>
      <w:r>
        <w:rPr>
          <w:b/>
          <w:bCs/>
          <w:color w:val="000000" w:themeColor="text1"/>
          <w:sz w:val="22"/>
          <w:szCs w:val="22"/>
          <w:lang w:val="it-IT"/>
        </w:rPr>
        <w:t xml:space="preserve">100(i) NEO/NEOe Kleemann presenta il primo membro della nuova NEO Line. La macchina è efficiente, potente ed estremamente flessibile – e nella variante NEOe funziona in modo completamente elettrico. </w:t>
      </w:r>
    </w:p>
    <w:p w14:paraId="7AAA3344" w14:textId="77777777" w:rsidR="00A9565F" w:rsidRPr="004A0B22" w:rsidRDefault="00A9565F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US"/>
        </w:rPr>
      </w:pPr>
    </w:p>
    <w:p w14:paraId="3E0B0510" w14:textId="4D8F4FE8" w:rsidR="00250808" w:rsidRPr="004A0B22" w:rsidRDefault="0043510B" w:rsidP="00426B30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en-US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>Flessibilità per gli impieghi più diversi</w:t>
      </w:r>
    </w:p>
    <w:p w14:paraId="180447F7" w14:textId="1744B979" w:rsidR="00C764D0" w:rsidRPr="004A0B22" w:rsidRDefault="0043510B" w:rsidP="00C764D0">
      <w:pPr>
        <w:autoSpaceDE w:val="0"/>
        <w:autoSpaceDN w:val="0"/>
        <w:adjustRightInd w:val="0"/>
        <w:jc w:val="both"/>
        <w:rPr>
          <w:rFonts w:eastAsiaTheme="majorEastAsia" w:cstheme="majorBidi"/>
          <w:bCs/>
          <w:sz w:val="22"/>
          <w:szCs w:val="22"/>
          <w:lang w:val="it-IT"/>
        </w:rPr>
      </w:pPr>
      <w:r>
        <w:rPr>
          <w:color w:val="000000" w:themeColor="text1"/>
          <w:sz w:val="22"/>
          <w:szCs w:val="22"/>
          <w:lang w:val="it-IT"/>
        </w:rPr>
        <w:t>Grazie alle sue dimensioni compatte e al peso di trasporto ridotto, il MOBIREX MR</w:t>
      </w:r>
      <w:r>
        <w:rPr>
          <w:sz w:val="22"/>
          <w:szCs w:val="22"/>
          <w:lang w:val="it-IT"/>
        </w:rPr>
        <w:t> </w:t>
      </w:r>
      <w:r>
        <w:rPr>
          <w:color w:val="000000" w:themeColor="text1"/>
          <w:sz w:val="22"/>
          <w:szCs w:val="22"/>
          <w:lang w:val="it-IT"/>
        </w:rPr>
        <w:t>100(i) NEO/NEOe è flessibile, versatile e subito operativo. Ciò facilita l'impiego in cantieri angusti o i frequenti spostamenti. L'ampia gamma di impieghi va da diverse applicazioni di riciclaggio, come ad esempio il trattamento di calcestruzzo, rifiuti edili e asfalto, fino al trattamento della pietra naturale morbida e mediamente dura</w:t>
      </w:r>
      <w:r>
        <w:rPr>
          <w:sz w:val="22"/>
          <w:szCs w:val="22"/>
          <w:lang w:val="it-IT"/>
        </w:rPr>
        <w:t xml:space="preserve">. </w:t>
      </w:r>
    </w:p>
    <w:p w14:paraId="6DE4AFB3" w14:textId="50F71C95" w:rsidR="0043510B" w:rsidRPr="004A0B22" w:rsidRDefault="0043510B" w:rsidP="0043510B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it-IT"/>
        </w:rPr>
      </w:pPr>
    </w:p>
    <w:p w14:paraId="7D9A1D66" w14:textId="12EEB999" w:rsidR="0062765B" w:rsidRPr="0062765B" w:rsidRDefault="0062765B" w:rsidP="0062765B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>Soluzioni sostenibili proteggono operatori e ambiente</w:t>
      </w:r>
    </w:p>
    <w:p w14:paraId="4EC8D08F" w14:textId="5AAF8A9B" w:rsidR="009E470F" w:rsidRPr="004A0B22" w:rsidRDefault="006A6708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US"/>
        </w:rPr>
      </w:pPr>
      <w:r>
        <w:rPr>
          <w:rFonts w:eastAsiaTheme="majorEastAsia" w:cstheme="majorBidi"/>
          <w:color w:val="000000" w:themeColor="text1"/>
          <w:sz w:val="22"/>
          <w:szCs w:val="22"/>
          <w:lang w:val="it-IT"/>
        </w:rPr>
        <w:t>Il nuovo frantoio ad urto di Kleemann è disponibile con due differenti azionamenti: A seconda del campo d'impiego, può funzionare in modo completamente elettrico, grazie al sistema E-DRIVE, e quindi lavorare a emissioni zero di CO</w:t>
      </w:r>
      <w:r>
        <w:rPr>
          <w:rFonts w:eastAsiaTheme="majorEastAsia" w:cstheme="majorBidi"/>
          <w:color w:val="000000" w:themeColor="text1"/>
          <w:sz w:val="22"/>
          <w:szCs w:val="22"/>
          <w:vertAlign w:val="subscript"/>
          <w:lang w:val="it-IT"/>
        </w:rPr>
        <w:t>2</w:t>
      </w:r>
      <w:r>
        <w:rPr>
          <w:rFonts w:eastAsiaTheme="majorEastAsia" w:cstheme="majorBidi"/>
          <w:color w:val="000000" w:themeColor="text1"/>
          <w:sz w:val="22"/>
          <w:szCs w:val="22"/>
          <w:lang w:val="it-IT"/>
        </w:rPr>
        <w:t xml:space="preserve"> nell'esercizio stazionario [MR 100(i) NEOe]. In alternativa, è disponibile la macchina con il collaudato azionamento diesel diretto D-DRIVE. </w:t>
      </w:r>
    </w:p>
    <w:p w14:paraId="52D8F59E" w14:textId="08F5D70B" w:rsidR="009E470F" w:rsidRPr="004A0B22" w:rsidRDefault="009E470F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US"/>
        </w:rPr>
      </w:pPr>
    </w:p>
    <w:p w14:paraId="178193B5" w14:textId="1302CF81" w:rsidR="00963988" w:rsidRPr="004A0B22" w:rsidRDefault="006A6708" w:rsidP="00250808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en-US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 xml:space="preserve">Ottima qualità del prodotto finale </w:t>
      </w:r>
    </w:p>
    <w:p w14:paraId="69437597" w14:textId="4B869D74" w:rsidR="0062765B" w:rsidRPr="004A0B22" w:rsidRDefault="00963988" w:rsidP="003255F4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US"/>
        </w:rPr>
      </w:pPr>
      <w:r>
        <w:rPr>
          <w:color w:val="000000" w:themeColor="text1"/>
          <w:sz w:val="22"/>
          <w:szCs w:val="22"/>
          <w:lang w:val="it-IT"/>
        </w:rPr>
        <w:t>Da un frantoio a urto ci si aspetta un'ottima qualità del prodotto ed è proprio quello che il MOBIREX MR</w:t>
      </w:r>
      <w:r>
        <w:rPr>
          <w:sz w:val="22"/>
          <w:szCs w:val="22"/>
          <w:lang w:val="it-IT"/>
        </w:rPr>
        <w:t> </w:t>
      </w:r>
      <w:r>
        <w:rPr>
          <w:color w:val="000000" w:themeColor="text1"/>
          <w:sz w:val="22"/>
          <w:szCs w:val="22"/>
          <w:lang w:val="it-IT"/>
        </w:rPr>
        <w:t>100(i) NEO / NEOe offre. Ciò è reso possibile non solo dalla potente unità di frantumazione, dotata di un rotore a 4 martelli con un grande campo d'azione, e dalla possibilità di montare diverse versioni di martelli (equip. a richiesta), ma anche dalla grande unità di vagliatura secondaria a un piano da 4 m</w:t>
      </w:r>
      <w:r>
        <w:rPr>
          <w:color w:val="000000" w:themeColor="text1"/>
          <w:sz w:val="22"/>
          <w:szCs w:val="22"/>
          <w:vertAlign w:val="superscript"/>
          <w:lang w:val="it-IT"/>
        </w:rPr>
        <w:t>2</w:t>
      </w:r>
      <w:r>
        <w:rPr>
          <w:color w:val="000000" w:themeColor="text1"/>
          <w:sz w:val="22"/>
          <w:szCs w:val="22"/>
          <w:lang w:val="it-IT"/>
        </w:rPr>
        <w:t xml:space="preserve"> (equip. a richiesta). Quindi è possibile produrre pezzature finali di qualità classificata. Con l'impiego di un separatore a vento, inoltre, si potrà aumentare ulteriormente la qualità del prodotto finale.</w:t>
      </w:r>
    </w:p>
    <w:p w14:paraId="47A3BB10" w14:textId="77777777" w:rsidR="003255F4" w:rsidRPr="004A0B22" w:rsidRDefault="003255F4" w:rsidP="003255F4">
      <w:pPr>
        <w:jc w:val="both"/>
        <w:rPr>
          <w:bCs/>
          <w:color w:val="000000" w:themeColor="text1"/>
          <w:sz w:val="22"/>
          <w:szCs w:val="22"/>
          <w:lang w:val="en-US"/>
        </w:rPr>
      </w:pPr>
    </w:p>
    <w:p w14:paraId="792EA563" w14:textId="731CDA95" w:rsidR="00A75A26" w:rsidRPr="004A0B22" w:rsidRDefault="00E65808" w:rsidP="00A75A26">
      <w:pPr>
        <w:jc w:val="both"/>
        <w:rPr>
          <w:b/>
          <w:color w:val="000000" w:themeColor="text1"/>
          <w:sz w:val="22"/>
          <w:lang w:val="en-US"/>
        </w:rPr>
      </w:pPr>
      <w:r>
        <w:rPr>
          <w:b/>
          <w:bCs/>
          <w:color w:val="000000" w:themeColor="text1"/>
          <w:sz w:val="22"/>
          <w:lang w:val="it-IT"/>
        </w:rPr>
        <w:t>Facile da manovrare</w:t>
      </w:r>
    </w:p>
    <w:p w14:paraId="2AEBA8FE" w14:textId="38682954" w:rsidR="00E65808" w:rsidRPr="004A0B22" w:rsidRDefault="005E1E8F" w:rsidP="00E65808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it-IT"/>
        </w:rPr>
        <w:t xml:space="preserve">Grazie a un'unità di comando SPECTIVE appositamente messa a punto per le funzioni previste, i comandi del </w:t>
      </w:r>
      <w:r>
        <w:rPr>
          <w:color w:val="000000" w:themeColor="text1"/>
          <w:sz w:val="22"/>
          <w:szCs w:val="22"/>
          <w:lang w:val="it-IT"/>
        </w:rPr>
        <w:t>MR</w:t>
      </w:r>
      <w:r>
        <w:rPr>
          <w:sz w:val="22"/>
          <w:szCs w:val="22"/>
          <w:lang w:val="it-IT"/>
        </w:rPr>
        <w:t> </w:t>
      </w:r>
      <w:r>
        <w:rPr>
          <w:color w:val="000000" w:themeColor="text1"/>
          <w:sz w:val="22"/>
          <w:szCs w:val="22"/>
          <w:lang w:val="it-IT"/>
        </w:rPr>
        <w:t>100(i) NEO / NEOe</w:t>
      </w:r>
      <w:r>
        <w:rPr>
          <w:sz w:val="22"/>
          <w:szCs w:val="22"/>
          <w:lang w:val="it-IT"/>
        </w:rPr>
        <w:t xml:space="preserve"> sono semplici e intuitivi. Con SPECTIVE CONNECT l'operatore ha a disposizione su smartphone o tablet tutti i dati rilevanti su numero di giri, consumi e livelli di riempimento, che gli assicurano una chiara visione del processo. Inoltre SPECTIVE CONNECT offre suggerimenti dettagliati per la risoluzione di problemi, a supporto degli interventi di assistenza e manutenzione. Unica nel suo genere, per questa classe di macchine, è la regolazione della fessura completamente automatica, così come il rilevamento del punto zero. Quest'ultimo permette di compensare l'usura all'avvio del frantoio, in modo da avere un prodotto finale sempre uguale. </w:t>
      </w:r>
    </w:p>
    <w:p w14:paraId="6ADC0838" w14:textId="77777777" w:rsidR="0006792E" w:rsidRPr="004A0B22" w:rsidRDefault="0006792E" w:rsidP="00A75A26">
      <w:pPr>
        <w:autoSpaceDE w:val="0"/>
        <w:autoSpaceDN w:val="0"/>
        <w:adjustRightInd w:val="0"/>
        <w:rPr>
          <w:sz w:val="22"/>
          <w:szCs w:val="22"/>
          <w:lang w:val="en-US"/>
        </w:rPr>
      </w:pPr>
    </w:p>
    <w:p w14:paraId="53EC91CE" w14:textId="748F02E7" w:rsidR="00E65808" w:rsidRPr="004A0B22" w:rsidRDefault="009E059B" w:rsidP="00A75A26">
      <w:pPr>
        <w:autoSpaceDE w:val="0"/>
        <w:autoSpaceDN w:val="0"/>
        <w:adjustRightInd w:val="0"/>
        <w:rPr>
          <w:sz w:val="22"/>
          <w:szCs w:val="22"/>
          <w:lang w:val="en-US"/>
        </w:rPr>
      </w:pPr>
      <w:r>
        <w:rPr>
          <w:sz w:val="22"/>
          <w:szCs w:val="22"/>
          <w:lang w:val="it-IT"/>
        </w:rPr>
        <w:lastRenderedPageBreak/>
        <w:t>Il nuovo frantoio ad urto MOBIREX MR 100(i) NEO/ NEOe sarà disponibile dal 2024 in Europa e in Nordamerica.</w:t>
      </w:r>
    </w:p>
    <w:p w14:paraId="4781F777" w14:textId="242FA807" w:rsidR="00600D40" w:rsidRDefault="004A0B22" w:rsidP="00600D40">
      <w:pPr>
        <w:pStyle w:val="Text"/>
        <w:rPr>
          <w:rFonts w:eastAsia="Calibri" w:cs="Arial"/>
          <w:b/>
          <w:szCs w:val="22"/>
        </w:rPr>
      </w:pPr>
      <w:r>
        <w:rPr>
          <w:rFonts w:eastAsia="Calibri" w:cs="Arial"/>
          <w:b/>
          <w:bCs/>
          <w:szCs w:val="22"/>
          <w:lang w:val="it-IT"/>
        </w:rPr>
        <w:br/>
      </w:r>
      <w:r w:rsidR="00600D40">
        <w:rPr>
          <w:rFonts w:eastAsia="Calibri" w:cs="Arial"/>
          <w:b/>
          <w:bCs/>
          <w:szCs w:val="22"/>
          <w:lang w:val="it-IT"/>
        </w:rPr>
        <w:t>Foto:</w:t>
      </w:r>
    </w:p>
    <w:p w14:paraId="5578B59E" w14:textId="7F7AB898" w:rsidR="009667EC" w:rsidRDefault="00A24264" w:rsidP="00600D40">
      <w:pPr>
        <w:pStyle w:val="Text"/>
        <w:rPr>
          <w:rFonts w:eastAsia="Calibri" w:cs="Arial"/>
          <w:b/>
          <w:szCs w:val="22"/>
        </w:rPr>
      </w:pPr>
      <w:r>
        <w:rPr>
          <w:b/>
          <w:bCs/>
          <w:noProof/>
          <w:sz w:val="40"/>
          <w:szCs w:val="40"/>
          <w:lang w:val="it-IT"/>
        </w:rPr>
        <w:drawing>
          <wp:inline distT="0" distB="0" distL="0" distR="0" wp14:anchorId="2208971B" wp14:editId="5663C92B">
            <wp:extent cx="5499667" cy="3886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4" cy="389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6223" w14:textId="54801412" w:rsidR="00600D40" w:rsidRPr="004A0B22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en-US"/>
        </w:rPr>
      </w:pPr>
      <w:r>
        <w:rPr>
          <w:rFonts w:eastAsia="MS Mincho"/>
          <w:b/>
          <w:bCs/>
          <w:sz w:val="20"/>
          <w:szCs w:val="24"/>
          <w:lang w:val="it-IT"/>
        </w:rPr>
        <w:t xml:space="preserve">KL_MR 100i NEO </w:t>
      </w:r>
    </w:p>
    <w:p w14:paraId="4BAF4F6B" w14:textId="0FD6D232" w:rsidR="00C42C59" w:rsidRPr="004A0B22" w:rsidRDefault="00091312" w:rsidP="000E24F8">
      <w:pPr>
        <w:pStyle w:val="Text"/>
        <w:rPr>
          <w:bCs/>
          <w:color w:val="000000" w:themeColor="text1"/>
          <w:sz w:val="20"/>
          <w:szCs w:val="14"/>
          <w:lang w:val="en-US"/>
        </w:rPr>
      </w:pPr>
      <w:r>
        <w:rPr>
          <w:color w:val="000000" w:themeColor="text1"/>
          <w:sz w:val="20"/>
          <w:szCs w:val="14"/>
          <w:lang w:val="it-IT"/>
        </w:rPr>
        <w:t xml:space="preserve">Il frantoio ad urto mobile MOBIREX MR 100(i) NEO/ NEOe è il primo membro della nuova NEO Line e colpisce per efficienza e flessibilità. </w:t>
      </w:r>
    </w:p>
    <w:p w14:paraId="64F00D5C" w14:textId="77777777" w:rsidR="00091312" w:rsidRPr="004A0B22" w:rsidRDefault="00091312" w:rsidP="000E24F8">
      <w:pPr>
        <w:pStyle w:val="Text"/>
        <w:rPr>
          <w:b/>
          <w:color w:val="000000" w:themeColor="text1"/>
          <w:lang w:val="en-US"/>
        </w:rPr>
      </w:pPr>
    </w:p>
    <w:p w14:paraId="0F088C05" w14:textId="534DD62E" w:rsidR="008755E5" w:rsidRPr="004A0B22" w:rsidRDefault="00651E5D" w:rsidP="004A0B22">
      <w:pPr>
        <w:pStyle w:val="Text"/>
        <w:rPr>
          <w:lang w:val="en-US"/>
        </w:rPr>
      </w:pPr>
      <w:r>
        <w:rPr>
          <w:i/>
          <w:iCs/>
          <w:u w:val="single"/>
          <w:lang w:val="it-IT"/>
        </w:rPr>
        <w:t>Nota:</w:t>
      </w:r>
      <w:r>
        <w:rPr>
          <w:i/>
          <w:iCs/>
          <w:lang w:val="it-IT"/>
        </w:rPr>
        <w:t xml:space="preserve"> Questa foto è puramente illustrativa. Per la stampa nelle pubblicazioni si prega di utilizzare la foto con risoluzione 300 dpi, che può essere scaricata dal sito web del </w:t>
      </w:r>
      <w:proofErr w:type="spellStart"/>
      <w:r>
        <w:rPr>
          <w:i/>
          <w:iCs/>
          <w:lang w:val="it-IT"/>
        </w:rPr>
        <w:t>Wirtgen</w:t>
      </w:r>
      <w:proofErr w:type="spellEnd"/>
      <w:r>
        <w:rPr>
          <w:i/>
          <w:iCs/>
          <w:lang w:val="it-IT"/>
        </w:rPr>
        <w:t xml:space="preserve"> Group.</w:t>
      </w:r>
      <w:r w:rsidR="004A0B22">
        <w:rPr>
          <w:i/>
          <w:iCs/>
          <w:lang w:val="it-IT"/>
        </w:rPr>
        <w:br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6D0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0F3A165A" w:rsidR="008755E5" w:rsidRPr="00E04039" w:rsidRDefault="008755E5" w:rsidP="008E7B5E">
            <w:pPr>
              <w:pStyle w:val="HeadlineKontakte"/>
            </w:pPr>
            <w:r>
              <w:rPr>
                <w:bCs/>
                <w:caps w:val="0"/>
                <w:szCs w:val="22"/>
                <w:lang w:val="it-IT"/>
              </w:rPr>
              <w:t>Altre informazioni</w:t>
            </w:r>
            <w:r>
              <w:rPr>
                <w:bCs/>
                <w:lang w:val="it-IT"/>
              </w:rP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>
              <w:rPr>
                <w:bCs/>
                <w:caps w:val="0"/>
                <w:szCs w:val="22"/>
                <w:lang w:val="it-IT"/>
              </w:rPr>
              <w:t>sono disponibili presso</w:t>
            </w:r>
            <w:r>
              <w:rPr>
                <w:bCs/>
                <w:lang w:val="it-IT"/>
              </w:rP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>
              <w:rPr>
                <w:lang w:val="it-IT"/>
              </w:rPr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Germania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</w:pPr>
            <w:r>
              <w:rPr>
                <w:lang w:val="it-IT"/>
              </w:rPr>
              <w:t xml:space="preserve">Telefono: +49 (0) 2645 131 </w:t>
            </w:r>
            <w:r>
              <w:rPr>
                <w:color w:val="000000" w:themeColor="text1"/>
                <w:lang w:val="it-IT"/>
              </w:rPr>
              <w:t xml:space="preserve">– 1966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>
              <w:rPr>
                <w:lang w:val="it-IT"/>
              </w:rPr>
              <w:t>E-mail: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</w:pPr>
            <w:r>
              <w:rPr>
                <w:lang w:val="it-IT"/>
              </w:rPr>
              <w:t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D440148" w14:textId="14F215E7" w:rsidR="009E470F" w:rsidRDefault="009E470F" w:rsidP="00A24264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96F8" w14:textId="77777777" w:rsidR="00550CD7" w:rsidRDefault="00550CD7" w:rsidP="00E55534">
      <w:r>
        <w:separator/>
      </w:r>
    </w:p>
  </w:endnote>
  <w:endnote w:type="continuationSeparator" w:id="0">
    <w:p w14:paraId="2F18EB44" w14:textId="77777777" w:rsidR="00550CD7" w:rsidRDefault="00550CD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253A" w14:textId="77777777" w:rsidR="00550CD7" w:rsidRDefault="00550CD7" w:rsidP="00E55534">
      <w:r>
        <w:separator/>
      </w:r>
    </w:p>
  </w:footnote>
  <w:footnote w:type="continuationSeparator" w:id="0">
    <w:p w14:paraId="6CD551F7" w14:textId="77777777" w:rsidR="00550CD7" w:rsidRDefault="00550CD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2E09" w14:textId="0DEB1EF1" w:rsidR="00A40E62" w:rsidRDefault="0069641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451D011" w:rsidR="00533132" w:rsidRPr="00533132" w:rsidRDefault="00696417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lo Comunicato 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D3625A" w:rsidR="00533132" w:rsidRDefault="0069641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20646298">
    <w:abstractNumId w:val="9"/>
  </w:num>
  <w:num w:numId="2" w16cid:durableId="1990285630">
    <w:abstractNumId w:val="9"/>
  </w:num>
  <w:num w:numId="3" w16cid:durableId="973097109">
    <w:abstractNumId w:val="9"/>
  </w:num>
  <w:num w:numId="4" w16cid:durableId="1425347095">
    <w:abstractNumId w:val="9"/>
  </w:num>
  <w:num w:numId="5" w16cid:durableId="711618876">
    <w:abstractNumId w:val="9"/>
  </w:num>
  <w:num w:numId="6" w16cid:durableId="1635407950">
    <w:abstractNumId w:val="2"/>
  </w:num>
  <w:num w:numId="7" w16cid:durableId="367730314">
    <w:abstractNumId w:val="2"/>
  </w:num>
  <w:num w:numId="8" w16cid:durableId="1164394631">
    <w:abstractNumId w:val="2"/>
  </w:num>
  <w:num w:numId="9" w16cid:durableId="102766774">
    <w:abstractNumId w:val="2"/>
  </w:num>
  <w:num w:numId="10" w16cid:durableId="1530994532">
    <w:abstractNumId w:val="2"/>
  </w:num>
  <w:num w:numId="11" w16cid:durableId="174079173">
    <w:abstractNumId w:val="5"/>
  </w:num>
  <w:num w:numId="12" w16cid:durableId="1855529565">
    <w:abstractNumId w:val="5"/>
  </w:num>
  <w:num w:numId="13" w16cid:durableId="65885310">
    <w:abstractNumId w:val="4"/>
  </w:num>
  <w:num w:numId="14" w16cid:durableId="2033876711">
    <w:abstractNumId w:val="4"/>
  </w:num>
  <w:num w:numId="15" w16cid:durableId="797338900">
    <w:abstractNumId w:val="4"/>
  </w:num>
  <w:num w:numId="16" w16cid:durableId="612248995">
    <w:abstractNumId w:val="4"/>
  </w:num>
  <w:num w:numId="17" w16cid:durableId="1268391128">
    <w:abstractNumId w:val="4"/>
  </w:num>
  <w:num w:numId="18" w16cid:durableId="1832670434">
    <w:abstractNumId w:val="1"/>
  </w:num>
  <w:num w:numId="19" w16cid:durableId="1923297520">
    <w:abstractNumId w:val="3"/>
  </w:num>
  <w:num w:numId="20" w16cid:durableId="1750074861">
    <w:abstractNumId w:val="8"/>
  </w:num>
  <w:num w:numId="21" w16cid:durableId="275337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0682648">
    <w:abstractNumId w:val="0"/>
  </w:num>
  <w:num w:numId="23" w16cid:durableId="2027633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0682483">
    <w:abstractNumId w:val="6"/>
  </w:num>
  <w:num w:numId="25" w16cid:durableId="6494779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71471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23DF5"/>
    <w:rsid w:val="00040087"/>
    <w:rsid w:val="00042106"/>
    <w:rsid w:val="0004479F"/>
    <w:rsid w:val="0005285B"/>
    <w:rsid w:val="00055529"/>
    <w:rsid w:val="00066793"/>
    <w:rsid w:val="00066D09"/>
    <w:rsid w:val="0006792E"/>
    <w:rsid w:val="0007533C"/>
    <w:rsid w:val="0007706F"/>
    <w:rsid w:val="00091312"/>
    <w:rsid w:val="0009665C"/>
    <w:rsid w:val="00096E54"/>
    <w:rsid w:val="000A36D9"/>
    <w:rsid w:val="000D15C3"/>
    <w:rsid w:val="000E24F8"/>
    <w:rsid w:val="000E5738"/>
    <w:rsid w:val="000F2DD1"/>
    <w:rsid w:val="000F4FF6"/>
    <w:rsid w:val="00103205"/>
    <w:rsid w:val="00112B3B"/>
    <w:rsid w:val="0011795C"/>
    <w:rsid w:val="0012026F"/>
    <w:rsid w:val="00130601"/>
    <w:rsid w:val="00132055"/>
    <w:rsid w:val="0014048C"/>
    <w:rsid w:val="00140BDD"/>
    <w:rsid w:val="00151530"/>
    <w:rsid w:val="001613A6"/>
    <w:rsid w:val="001614F0"/>
    <w:rsid w:val="001616F4"/>
    <w:rsid w:val="00162F87"/>
    <w:rsid w:val="00177B3A"/>
    <w:rsid w:val="0018021A"/>
    <w:rsid w:val="00194FB1"/>
    <w:rsid w:val="001A1DE8"/>
    <w:rsid w:val="001A6A9A"/>
    <w:rsid w:val="001A6BD8"/>
    <w:rsid w:val="001A799C"/>
    <w:rsid w:val="001B16BB"/>
    <w:rsid w:val="001B5A7B"/>
    <w:rsid w:val="001C1A3E"/>
    <w:rsid w:val="001C63E4"/>
    <w:rsid w:val="001D0CB5"/>
    <w:rsid w:val="001E1AD1"/>
    <w:rsid w:val="001E50EC"/>
    <w:rsid w:val="001F6E41"/>
    <w:rsid w:val="0020717C"/>
    <w:rsid w:val="00216F6B"/>
    <w:rsid w:val="00217B9D"/>
    <w:rsid w:val="00250808"/>
    <w:rsid w:val="00253A2E"/>
    <w:rsid w:val="002603EC"/>
    <w:rsid w:val="00272351"/>
    <w:rsid w:val="00273634"/>
    <w:rsid w:val="00275BC2"/>
    <w:rsid w:val="0029034C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5818"/>
    <w:rsid w:val="0030316D"/>
    <w:rsid w:val="0030398D"/>
    <w:rsid w:val="003255F4"/>
    <w:rsid w:val="0032774C"/>
    <w:rsid w:val="00332B24"/>
    <w:rsid w:val="0034191A"/>
    <w:rsid w:val="00342D0D"/>
    <w:rsid w:val="00343CC7"/>
    <w:rsid w:val="003649E1"/>
    <w:rsid w:val="0036561D"/>
    <w:rsid w:val="003665BE"/>
    <w:rsid w:val="0036743C"/>
    <w:rsid w:val="00384A08"/>
    <w:rsid w:val="003967E5"/>
    <w:rsid w:val="003A753A"/>
    <w:rsid w:val="003C36F3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2206A"/>
    <w:rsid w:val="00426B30"/>
    <w:rsid w:val="00430098"/>
    <w:rsid w:val="00430BB0"/>
    <w:rsid w:val="0043349A"/>
    <w:rsid w:val="0043510B"/>
    <w:rsid w:val="00462778"/>
    <w:rsid w:val="00466210"/>
    <w:rsid w:val="00476100"/>
    <w:rsid w:val="00487BFC"/>
    <w:rsid w:val="004A0B22"/>
    <w:rsid w:val="004B0B2D"/>
    <w:rsid w:val="004B6341"/>
    <w:rsid w:val="004C4563"/>
    <w:rsid w:val="004D23D0"/>
    <w:rsid w:val="004D2BE0"/>
    <w:rsid w:val="004E6EF5"/>
    <w:rsid w:val="00503AF6"/>
    <w:rsid w:val="005040C9"/>
    <w:rsid w:val="00506409"/>
    <w:rsid w:val="005069F4"/>
    <w:rsid w:val="0051748B"/>
    <w:rsid w:val="00530E32"/>
    <w:rsid w:val="00533132"/>
    <w:rsid w:val="00550CD7"/>
    <w:rsid w:val="005649F4"/>
    <w:rsid w:val="0056595A"/>
    <w:rsid w:val="005710C8"/>
    <w:rsid w:val="005711A3"/>
    <w:rsid w:val="00571A5C"/>
    <w:rsid w:val="00573B2B"/>
    <w:rsid w:val="005776E9"/>
    <w:rsid w:val="00582D40"/>
    <w:rsid w:val="0058443C"/>
    <w:rsid w:val="005A06B5"/>
    <w:rsid w:val="005A4F04"/>
    <w:rsid w:val="005B5793"/>
    <w:rsid w:val="005D205E"/>
    <w:rsid w:val="005D7DD7"/>
    <w:rsid w:val="005E1E8F"/>
    <w:rsid w:val="00600D40"/>
    <w:rsid w:val="00605DF2"/>
    <w:rsid w:val="006063D4"/>
    <w:rsid w:val="00613489"/>
    <w:rsid w:val="0062765B"/>
    <w:rsid w:val="006330A2"/>
    <w:rsid w:val="00634D99"/>
    <w:rsid w:val="00637E7D"/>
    <w:rsid w:val="00642BC1"/>
    <w:rsid w:val="00642EB6"/>
    <w:rsid w:val="006433E2"/>
    <w:rsid w:val="00651E5D"/>
    <w:rsid w:val="00682B1A"/>
    <w:rsid w:val="00690D7C"/>
    <w:rsid w:val="00693907"/>
    <w:rsid w:val="00694F63"/>
    <w:rsid w:val="00696417"/>
    <w:rsid w:val="006A3907"/>
    <w:rsid w:val="006A4DE6"/>
    <w:rsid w:val="006A6708"/>
    <w:rsid w:val="006B3EEC"/>
    <w:rsid w:val="006C0D4B"/>
    <w:rsid w:val="006D0D86"/>
    <w:rsid w:val="006D74AE"/>
    <w:rsid w:val="006D7EAC"/>
    <w:rsid w:val="006E0104"/>
    <w:rsid w:val="006F546E"/>
    <w:rsid w:val="006F6FF7"/>
    <w:rsid w:val="006F7602"/>
    <w:rsid w:val="007040C8"/>
    <w:rsid w:val="00706E32"/>
    <w:rsid w:val="00722A17"/>
    <w:rsid w:val="00723F4F"/>
    <w:rsid w:val="00737E93"/>
    <w:rsid w:val="0074130B"/>
    <w:rsid w:val="00755AE0"/>
    <w:rsid w:val="0075761B"/>
    <w:rsid w:val="00757B83"/>
    <w:rsid w:val="00791A69"/>
    <w:rsid w:val="00794830"/>
    <w:rsid w:val="00797CAA"/>
    <w:rsid w:val="007B4241"/>
    <w:rsid w:val="007B53BF"/>
    <w:rsid w:val="007C2658"/>
    <w:rsid w:val="007C5F6A"/>
    <w:rsid w:val="007D40B2"/>
    <w:rsid w:val="007D59A2"/>
    <w:rsid w:val="007E0425"/>
    <w:rsid w:val="007E20D0"/>
    <w:rsid w:val="007E3DAB"/>
    <w:rsid w:val="007E6162"/>
    <w:rsid w:val="007F752D"/>
    <w:rsid w:val="008053B3"/>
    <w:rsid w:val="00820315"/>
    <w:rsid w:val="00821D93"/>
    <w:rsid w:val="00832921"/>
    <w:rsid w:val="008427F2"/>
    <w:rsid w:val="00843B45"/>
    <w:rsid w:val="00851843"/>
    <w:rsid w:val="008529EC"/>
    <w:rsid w:val="00855D72"/>
    <w:rsid w:val="00863129"/>
    <w:rsid w:val="00866830"/>
    <w:rsid w:val="008755E5"/>
    <w:rsid w:val="008755ED"/>
    <w:rsid w:val="00877147"/>
    <w:rsid w:val="00892F6F"/>
    <w:rsid w:val="00896F7E"/>
    <w:rsid w:val="008B09CD"/>
    <w:rsid w:val="008C2A29"/>
    <w:rsid w:val="008C2DB2"/>
    <w:rsid w:val="008D770E"/>
    <w:rsid w:val="0090337E"/>
    <w:rsid w:val="009111FE"/>
    <w:rsid w:val="00915993"/>
    <w:rsid w:val="0092522B"/>
    <w:rsid w:val="009323DE"/>
    <w:rsid w:val="009328FA"/>
    <w:rsid w:val="00936A78"/>
    <w:rsid w:val="00943606"/>
    <w:rsid w:val="00952853"/>
    <w:rsid w:val="00961EE1"/>
    <w:rsid w:val="009634DC"/>
    <w:rsid w:val="00963988"/>
    <w:rsid w:val="009646E4"/>
    <w:rsid w:val="009667EC"/>
    <w:rsid w:val="00972630"/>
    <w:rsid w:val="00973307"/>
    <w:rsid w:val="0097781E"/>
    <w:rsid w:val="00977EC3"/>
    <w:rsid w:val="009A04F3"/>
    <w:rsid w:val="009B211F"/>
    <w:rsid w:val="009B7C05"/>
    <w:rsid w:val="009C2378"/>
    <w:rsid w:val="009C4B14"/>
    <w:rsid w:val="009C5A77"/>
    <w:rsid w:val="009C5D99"/>
    <w:rsid w:val="009D016F"/>
    <w:rsid w:val="009D52DB"/>
    <w:rsid w:val="009D7E60"/>
    <w:rsid w:val="009E059B"/>
    <w:rsid w:val="009E251D"/>
    <w:rsid w:val="009E470F"/>
    <w:rsid w:val="009F10A8"/>
    <w:rsid w:val="009F3462"/>
    <w:rsid w:val="009F4627"/>
    <w:rsid w:val="00A01E74"/>
    <w:rsid w:val="00A02F49"/>
    <w:rsid w:val="00A06278"/>
    <w:rsid w:val="00A119E2"/>
    <w:rsid w:val="00A171F4"/>
    <w:rsid w:val="00A1772D"/>
    <w:rsid w:val="00A177B2"/>
    <w:rsid w:val="00A24264"/>
    <w:rsid w:val="00A24EFC"/>
    <w:rsid w:val="00A27B56"/>
    <w:rsid w:val="00A40E62"/>
    <w:rsid w:val="00A410D7"/>
    <w:rsid w:val="00A47556"/>
    <w:rsid w:val="00A51F29"/>
    <w:rsid w:val="00A56A89"/>
    <w:rsid w:val="00A636D6"/>
    <w:rsid w:val="00A71CF2"/>
    <w:rsid w:val="00A75A26"/>
    <w:rsid w:val="00A908E9"/>
    <w:rsid w:val="00A92F53"/>
    <w:rsid w:val="00A9565F"/>
    <w:rsid w:val="00A977CE"/>
    <w:rsid w:val="00AA1030"/>
    <w:rsid w:val="00AB1A8B"/>
    <w:rsid w:val="00AB52F9"/>
    <w:rsid w:val="00AB65B9"/>
    <w:rsid w:val="00AC5B80"/>
    <w:rsid w:val="00AC7047"/>
    <w:rsid w:val="00AD131F"/>
    <w:rsid w:val="00AD2A2A"/>
    <w:rsid w:val="00AD32D5"/>
    <w:rsid w:val="00AD70E4"/>
    <w:rsid w:val="00AE11C2"/>
    <w:rsid w:val="00AF14CD"/>
    <w:rsid w:val="00AF3B3A"/>
    <w:rsid w:val="00AF4E8E"/>
    <w:rsid w:val="00AF6569"/>
    <w:rsid w:val="00AF6B71"/>
    <w:rsid w:val="00B06265"/>
    <w:rsid w:val="00B14723"/>
    <w:rsid w:val="00B42872"/>
    <w:rsid w:val="00B5232A"/>
    <w:rsid w:val="00B55310"/>
    <w:rsid w:val="00B74F34"/>
    <w:rsid w:val="00B75188"/>
    <w:rsid w:val="00B85BDB"/>
    <w:rsid w:val="00B90F78"/>
    <w:rsid w:val="00BB10AA"/>
    <w:rsid w:val="00BB34DD"/>
    <w:rsid w:val="00BD1058"/>
    <w:rsid w:val="00BD5391"/>
    <w:rsid w:val="00BD764C"/>
    <w:rsid w:val="00BD793B"/>
    <w:rsid w:val="00BF3DC6"/>
    <w:rsid w:val="00BF56B2"/>
    <w:rsid w:val="00BF5CD6"/>
    <w:rsid w:val="00C055AB"/>
    <w:rsid w:val="00C05746"/>
    <w:rsid w:val="00C11F95"/>
    <w:rsid w:val="00C12161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764D0"/>
    <w:rsid w:val="00C85E18"/>
    <w:rsid w:val="00CA11BF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44ADF"/>
    <w:rsid w:val="00D5734A"/>
    <w:rsid w:val="00D6302E"/>
    <w:rsid w:val="00D65152"/>
    <w:rsid w:val="00D95EAF"/>
    <w:rsid w:val="00DA0992"/>
    <w:rsid w:val="00DA0FAD"/>
    <w:rsid w:val="00DA56D6"/>
    <w:rsid w:val="00DB4BB0"/>
    <w:rsid w:val="00DE461D"/>
    <w:rsid w:val="00E04039"/>
    <w:rsid w:val="00E14608"/>
    <w:rsid w:val="00E21E67"/>
    <w:rsid w:val="00E25C68"/>
    <w:rsid w:val="00E30EBF"/>
    <w:rsid w:val="00E316C0"/>
    <w:rsid w:val="00E52D70"/>
    <w:rsid w:val="00E55534"/>
    <w:rsid w:val="00E65808"/>
    <w:rsid w:val="00E7116D"/>
    <w:rsid w:val="00E85732"/>
    <w:rsid w:val="00E914D1"/>
    <w:rsid w:val="00E960D8"/>
    <w:rsid w:val="00EA486B"/>
    <w:rsid w:val="00EC330B"/>
    <w:rsid w:val="00ED7BB1"/>
    <w:rsid w:val="00EF3846"/>
    <w:rsid w:val="00EF512B"/>
    <w:rsid w:val="00F0334B"/>
    <w:rsid w:val="00F047EB"/>
    <w:rsid w:val="00F17DDE"/>
    <w:rsid w:val="00F20920"/>
    <w:rsid w:val="00F23212"/>
    <w:rsid w:val="00F32D33"/>
    <w:rsid w:val="00F33B16"/>
    <w:rsid w:val="00F34070"/>
    <w:rsid w:val="00F353EA"/>
    <w:rsid w:val="00F36DD7"/>
    <w:rsid w:val="00F56318"/>
    <w:rsid w:val="00F56CC4"/>
    <w:rsid w:val="00F75B79"/>
    <w:rsid w:val="00F82525"/>
    <w:rsid w:val="00F833AC"/>
    <w:rsid w:val="00F9251F"/>
    <w:rsid w:val="00F92FA6"/>
    <w:rsid w:val="00F979CD"/>
    <w:rsid w:val="00F97FEA"/>
    <w:rsid w:val="00FB60E1"/>
    <w:rsid w:val="00FB776E"/>
    <w:rsid w:val="00FD376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64D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6C0D4B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0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3CE-614E-4F14-AE00-F4661667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2</Pages>
  <Words>473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3450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Julia Reiff</cp:lastModifiedBy>
  <cp:revision>4</cp:revision>
  <cp:lastPrinted>2022-04-19T11:26:00Z</cp:lastPrinted>
  <dcterms:created xsi:type="dcterms:W3CDTF">2023-07-26T15:16:00Z</dcterms:created>
  <dcterms:modified xsi:type="dcterms:W3CDTF">2023-08-16T09:57:00Z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