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78A6DC7C" w:rsidR="002F5818" w:rsidRPr="00783D3D" w:rsidRDefault="00F93924" w:rsidP="002F5818">
      <w:pPr>
        <w:pStyle w:val="1RoadNews"/>
        <w:rPr>
          <w:rFonts w:ascii="Verdana" w:hAnsi="Verdana"/>
          <w:b/>
          <w:color w:val="000000" w:themeColor="text1"/>
          <w:sz w:val="40"/>
          <w:szCs w:val="40"/>
          <w:lang w:val="lv-LV"/>
        </w:rPr>
      </w:pPr>
      <w:r w:rsidRPr="00783D3D">
        <w:rPr>
          <w:rFonts w:ascii="Verdana" w:hAnsi="Verdana"/>
          <w:b/>
          <w:sz w:val="40"/>
          <w:lang w:val="lv-LV"/>
        </w:rPr>
        <w:t>Kleemann | Mobilais sijātājs rupjam malumam MOBISCREEN MSS 802(i) EVO</w:t>
      </w:r>
      <w:r w:rsidR="000E24F8" w:rsidRPr="00783D3D">
        <w:rPr>
          <w:rFonts w:ascii="Verdana" w:eastAsiaTheme="majorEastAsia" w:hAnsi="Verdana" w:cstheme="majorBidi"/>
          <w:b/>
          <w:color w:val="000000" w:themeColor="text1"/>
          <w:sz w:val="40"/>
          <w:lang w:val="lv-LV"/>
        </w:rPr>
        <w:t xml:space="preserve"> </w:t>
      </w:r>
    </w:p>
    <w:p w14:paraId="7C5C724F" w14:textId="77777777" w:rsidR="00936A78" w:rsidRPr="00783D3D" w:rsidRDefault="00936A78" w:rsidP="00BD5391">
      <w:pPr>
        <w:spacing w:line="276" w:lineRule="auto"/>
        <w:jc w:val="both"/>
        <w:rPr>
          <w:b/>
          <w:iCs/>
          <w:sz w:val="22"/>
          <w:lang w:val="lv-LV"/>
        </w:rPr>
      </w:pPr>
    </w:p>
    <w:p w14:paraId="5C26AFAE" w14:textId="1DA6971A" w:rsidR="00D4487C" w:rsidRPr="00783D3D" w:rsidRDefault="00FE2B44" w:rsidP="00BD5391">
      <w:pPr>
        <w:spacing w:line="276" w:lineRule="auto"/>
        <w:jc w:val="both"/>
        <w:rPr>
          <w:b/>
          <w:iCs/>
          <w:sz w:val="28"/>
          <w:szCs w:val="28"/>
          <w:lang w:val="lv-LV"/>
        </w:rPr>
      </w:pPr>
      <w:r w:rsidRPr="00783D3D">
        <w:rPr>
          <w:b/>
          <w:iCs/>
          <w:sz w:val="28"/>
          <w:lang w:val="lv-LV"/>
        </w:rPr>
        <w:t>Lielāka elastība un efektivitāte uz vietas</w:t>
      </w:r>
    </w:p>
    <w:p w14:paraId="181AB6F8" w14:textId="77777777" w:rsidR="00634D99" w:rsidRPr="00783D3D" w:rsidRDefault="00634D99" w:rsidP="00D4487C">
      <w:pPr>
        <w:autoSpaceDE w:val="0"/>
        <w:autoSpaceDN w:val="0"/>
        <w:adjustRightInd w:val="0"/>
        <w:jc w:val="both"/>
        <w:rPr>
          <w:rFonts w:eastAsiaTheme="majorEastAsia" w:cstheme="majorBidi"/>
          <w:b/>
          <w:iCs/>
          <w:color w:val="000000" w:themeColor="text1"/>
          <w:sz w:val="22"/>
          <w:szCs w:val="22"/>
          <w:lang w:val="lv-LV"/>
        </w:rPr>
      </w:pPr>
    </w:p>
    <w:p w14:paraId="7A671315" w14:textId="67985A82" w:rsidR="00DA0992" w:rsidRPr="00783D3D" w:rsidRDefault="00AB3D41" w:rsidP="00D4487C">
      <w:pPr>
        <w:autoSpaceDE w:val="0"/>
        <w:autoSpaceDN w:val="0"/>
        <w:adjustRightInd w:val="0"/>
        <w:jc w:val="both"/>
        <w:rPr>
          <w:rFonts w:cs="ƒG'E3˛"/>
          <w:b/>
          <w:bCs/>
          <w:iCs/>
          <w:sz w:val="22"/>
          <w:szCs w:val="22"/>
          <w:lang w:val="lv-LV" w:eastAsia="de-DE"/>
        </w:rPr>
      </w:pPr>
      <w:r w:rsidRPr="00783D3D">
        <w:rPr>
          <w:rFonts w:eastAsiaTheme="majorEastAsia" w:cstheme="majorBidi"/>
          <w:b/>
          <w:iCs/>
          <w:color w:val="000000" w:themeColor="text1"/>
          <w:sz w:val="22"/>
          <w:lang w:val="lv-LV"/>
        </w:rPr>
        <w:t xml:space="preserve">Jaunais MOBISCREEN MSS 802(i) EVO piedāvā lietotājiem mobilu, efektīvu sijāšanas iekārtu, kas izstrādāta, lai risinātu mainīgās </w:t>
      </w:r>
      <w:r w:rsidR="006014B5" w:rsidRPr="00783D3D">
        <w:rPr>
          <w:rFonts w:eastAsiaTheme="majorEastAsia" w:cstheme="majorBidi"/>
          <w:b/>
          <w:iCs/>
          <w:color w:val="000000" w:themeColor="text1"/>
          <w:sz w:val="22"/>
          <w:lang w:val="lv-LV"/>
        </w:rPr>
        <w:t xml:space="preserve">dažādo pielietojumu </w:t>
      </w:r>
      <w:r w:rsidRPr="00783D3D">
        <w:rPr>
          <w:rFonts w:eastAsiaTheme="majorEastAsia" w:cstheme="majorBidi"/>
          <w:b/>
          <w:iCs/>
          <w:color w:val="000000" w:themeColor="text1"/>
          <w:sz w:val="22"/>
          <w:lang w:val="lv-LV"/>
        </w:rPr>
        <w:t>problēmas. Ar savu pārdomāto iekārtas dizainu un elastīgajām pārveidošanas iespējām Kleemann parāda, kā var garantēt augstu materiālu plūsmu dabīgā akmens un pārstrādes pielietojumos</w:t>
      </w:r>
      <w:r w:rsidR="00634D99" w:rsidRPr="00783D3D">
        <w:rPr>
          <w:rFonts w:eastAsiaTheme="majorEastAsia" w:cstheme="majorBidi"/>
          <w:b/>
          <w:iCs/>
          <w:color w:val="000000" w:themeColor="text1"/>
          <w:sz w:val="22"/>
          <w:lang w:val="lv-LV"/>
        </w:rPr>
        <w:t xml:space="preserve">. </w:t>
      </w:r>
    </w:p>
    <w:p w14:paraId="7FDD6A83" w14:textId="79E5D73A" w:rsidR="00A1772D" w:rsidRPr="00783D3D" w:rsidRDefault="00A1772D" w:rsidP="00D4487C">
      <w:pPr>
        <w:jc w:val="both"/>
        <w:rPr>
          <w:b/>
          <w:iCs/>
          <w:color w:val="FF0000"/>
          <w:sz w:val="22"/>
          <w:lang w:val="lv-LV"/>
        </w:rPr>
      </w:pPr>
    </w:p>
    <w:p w14:paraId="74E0EBB0" w14:textId="0CAF50B6" w:rsidR="000E5738" w:rsidRPr="00783D3D" w:rsidRDefault="00AB3D41" w:rsidP="00D4487C">
      <w:pPr>
        <w:jc w:val="both"/>
        <w:rPr>
          <w:b/>
          <w:iCs/>
          <w:color w:val="000000" w:themeColor="text1"/>
          <w:sz w:val="22"/>
          <w:lang w:val="lv-LV"/>
        </w:rPr>
      </w:pPr>
      <w:r w:rsidRPr="00783D3D">
        <w:rPr>
          <w:b/>
          <w:iCs/>
          <w:color w:val="000000" w:themeColor="text1"/>
          <w:sz w:val="22"/>
          <w:lang w:val="lv-LV"/>
        </w:rPr>
        <w:t>Sijāšana kļuvusi vieglāka</w:t>
      </w:r>
    </w:p>
    <w:p w14:paraId="6DC45D2C" w14:textId="1492C93B" w:rsidR="00066793" w:rsidRPr="00783D3D" w:rsidRDefault="008C29DD" w:rsidP="009C5D99">
      <w:pPr>
        <w:jc w:val="both"/>
        <w:rPr>
          <w:rFonts w:eastAsiaTheme="majorEastAsia" w:cstheme="majorBidi"/>
          <w:bCs/>
          <w:iCs/>
          <w:color w:val="000000" w:themeColor="text1"/>
          <w:sz w:val="22"/>
          <w:szCs w:val="22"/>
          <w:lang w:val="lv-LV"/>
        </w:rPr>
      </w:pPr>
      <w:r w:rsidRPr="00783D3D">
        <w:rPr>
          <w:iCs/>
          <w:color w:val="000000" w:themeColor="text1"/>
          <w:sz w:val="22"/>
          <w:lang w:val="lv-LV"/>
        </w:rPr>
        <w:t>Izstrādājot MOBISCREEN MSS 802(i) EVO, jaunas paaudzes sijāšanas iekārtu un MS 15 Z pēcteci, Kleemann apzināti koncentrējas uz lietotāja perspektīvu. Sijāšanas procesa tehnoloģijai ir jābūt vienkāršai un drošai lietošan</w:t>
      </w:r>
      <w:r w:rsidR="00F30469" w:rsidRPr="00783D3D">
        <w:rPr>
          <w:iCs/>
          <w:color w:val="000000" w:themeColor="text1"/>
          <w:sz w:val="22"/>
          <w:lang w:val="lv-LV"/>
        </w:rPr>
        <w:t>ā</w:t>
      </w:r>
      <w:r w:rsidRPr="00783D3D">
        <w:rPr>
          <w:iCs/>
          <w:color w:val="000000" w:themeColor="text1"/>
          <w:sz w:val="22"/>
          <w:lang w:val="lv-LV"/>
        </w:rPr>
        <w:t xml:space="preserve"> visiem lietotājiem. Jaunā iekārta pārsteidz ne tikai ar tehnoloģiskajiem aspektiem procesa secībā, bet arī ar savu ergonomisko dizainu, optimizēto darbību un lietotājam draudzīgo apkopes koncepciju.</w:t>
      </w:r>
      <w:r w:rsidR="00066793" w:rsidRPr="00783D3D">
        <w:rPr>
          <w:rFonts w:eastAsiaTheme="majorEastAsia" w:cstheme="majorBidi"/>
          <w:iCs/>
          <w:color w:val="000000" w:themeColor="text1"/>
          <w:sz w:val="22"/>
          <w:lang w:val="lv-LV"/>
        </w:rPr>
        <w:t xml:space="preserve"> </w:t>
      </w:r>
    </w:p>
    <w:p w14:paraId="6980BB40" w14:textId="0A9C6809" w:rsidR="00642BC1" w:rsidRPr="00783D3D" w:rsidRDefault="00642BC1" w:rsidP="009C5D99">
      <w:pPr>
        <w:jc w:val="both"/>
        <w:rPr>
          <w:rFonts w:eastAsiaTheme="majorEastAsia" w:cstheme="majorBidi"/>
          <w:bCs/>
          <w:iCs/>
          <w:color w:val="000000" w:themeColor="text1"/>
          <w:sz w:val="22"/>
          <w:szCs w:val="22"/>
          <w:lang w:val="lv-LV"/>
        </w:rPr>
      </w:pPr>
    </w:p>
    <w:p w14:paraId="6D19C4C2" w14:textId="1D8C20D6" w:rsidR="00915993" w:rsidRPr="00783D3D" w:rsidRDefault="000947C9" w:rsidP="009C5D99">
      <w:pPr>
        <w:jc w:val="both"/>
        <w:rPr>
          <w:rFonts w:eastAsiaTheme="majorEastAsia" w:cstheme="majorBidi"/>
          <w:b/>
          <w:iCs/>
          <w:color w:val="000000" w:themeColor="text1"/>
          <w:sz w:val="22"/>
          <w:szCs w:val="22"/>
          <w:lang w:val="lv-LV"/>
        </w:rPr>
      </w:pPr>
      <w:r w:rsidRPr="00783D3D">
        <w:rPr>
          <w:rFonts w:eastAsiaTheme="majorEastAsia" w:cstheme="majorBidi"/>
          <w:b/>
          <w:iCs/>
          <w:color w:val="000000" w:themeColor="text1"/>
          <w:sz w:val="22"/>
          <w:lang w:val="lv-LV"/>
        </w:rPr>
        <w:t>Uzlabota mobilitāte un pielietojuma elastība</w:t>
      </w:r>
    </w:p>
    <w:p w14:paraId="3573E770" w14:textId="60C65F23" w:rsidR="00C16524" w:rsidRPr="00783D3D" w:rsidRDefault="00C63DDE" w:rsidP="00AC5B80">
      <w:pPr>
        <w:autoSpaceDE w:val="0"/>
        <w:autoSpaceDN w:val="0"/>
        <w:adjustRightInd w:val="0"/>
        <w:jc w:val="both"/>
        <w:rPr>
          <w:b/>
          <w:bCs/>
          <w:iCs/>
          <w:color w:val="000000" w:themeColor="text1"/>
          <w:sz w:val="22"/>
          <w:szCs w:val="22"/>
          <w:lang w:val="lv-LV"/>
        </w:rPr>
      </w:pPr>
      <w:r w:rsidRPr="00783D3D">
        <w:rPr>
          <w:rFonts w:eastAsiaTheme="majorEastAsia" w:cstheme="majorBidi"/>
          <w:iCs/>
          <w:color w:val="000000" w:themeColor="text1"/>
          <w:sz w:val="22"/>
          <w:lang w:val="lv-LV"/>
        </w:rPr>
        <w:t xml:space="preserve">Iekārtu ar proporcionāli kontrolētu ritošo daļu var ātri pārvietot vai nu ar zemo iekrāvēju, vai </w:t>
      </w:r>
      <w:r w:rsidR="00B910A1" w:rsidRPr="00783D3D">
        <w:rPr>
          <w:rFonts w:eastAsiaTheme="majorEastAsia" w:cstheme="majorBidi"/>
          <w:iCs/>
          <w:color w:val="000000" w:themeColor="text1"/>
          <w:sz w:val="22"/>
          <w:lang w:val="lv-LV"/>
        </w:rPr>
        <w:t xml:space="preserve">arī </w:t>
      </w:r>
      <w:r w:rsidRPr="00783D3D">
        <w:rPr>
          <w:rFonts w:eastAsiaTheme="majorEastAsia" w:cstheme="majorBidi"/>
          <w:iCs/>
          <w:color w:val="000000" w:themeColor="text1"/>
          <w:sz w:val="22"/>
          <w:lang w:val="lv-LV"/>
        </w:rPr>
        <w:t>uz citu darbavietu vai būvlaukumā. Papildus citiem jaunā MSS 802(i) EVO uzlabojumiem sānu iztukšošanas konveijeru salocīšana bez nepieciešamības izjaukt nepārprotami samazina uzstādīšanas laiku. Palielinātu pielietojuma mainīgumu nodrošina tvertnes aizmugurējā siena, kuru var salocīt trīs augstumos, kas ļauj papildināt drupināšanas iekārtas ar zemāku izplūdes augstumu. Lielais sijātāju virsmu piedāvājums un vienkārša sijāšanas parametru regulēšana, kas ļauj ātri pielāgot MSS 802(i) EVO ļoti plašam padeves materiālu klāstam, samazina uzstādīšanas laiku un līdz ar to arī prasības personālam un izmaksas. Sijātāja korpusa leņķis ar plašu regulēšanas diapazonu no 15,4</w:t>
      </w:r>
      <w:r w:rsidR="00733E2F" w:rsidRPr="00783D3D">
        <w:rPr>
          <w:rFonts w:eastAsiaTheme="majorEastAsia" w:cstheme="majorBidi"/>
          <w:iCs/>
          <w:color w:val="000000" w:themeColor="text1"/>
          <w:sz w:val="22"/>
          <w:lang w:val="lv-LV"/>
        </w:rPr>
        <w:t>°</w:t>
      </w:r>
      <w:r w:rsidRPr="00783D3D">
        <w:rPr>
          <w:rFonts w:eastAsiaTheme="majorEastAsia" w:cstheme="majorBidi"/>
          <w:iCs/>
          <w:color w:val="000000" w:themeColor="text1"/>
          <w:sz w:val="22"/>
          <w:lang w:val="lv-LV"/>
        </w:rPr>
        <w:t xml:space="preserve"> līdz 20° ļauj optimizēt sijātāja jaudu. </w:t>
      </w:r>
      <w:r w:rsidRPr="00783D3D">
        <w:rPr>
          <w:rFonts w:eastAsiaTheme="majorEastAsia" w:cstheme="majorBidi"/>
          <w:b/>
          <w:bCs/>
          <w:iCs/>
          <w:color w:val="000000" w:themeColor="text1"/>
          <w:sz w:val="22"/>
          <w:lang w:val="lv-LV"/>
        </w:rPr>
        <w:t xml:space="preserve">Īpašs akcents: vienkārša un ātra pārveidošana no trīs veidu </w:t>
      </w:r>
      <w:r w:rsidR="0058643F" w:rsidRPr="00783D3D">
        <w:rPr>
          <w:rFonts w:eastAsiaTheme="majorEastAsia" w:cstheme="majorBidi"/>
          <w:b/>
          <w:bCs/>
          <w:iCs/>
          <w:color w:val="000000" w:themeColor="text1"/>
          <w:sz w:val="22"/>
          <w:lang w:val="lv-LV"/>
        </w:rPr>
        <w:t>šķirošanas</w:t>
      </w:r>
      <w:r w:rsidRPr="00783D3D">
        <w:rPr>
          <w:rFonts w:eastAsiaTheme="majorEastAsia" w:cstheme="majorBidi"/>
          <w:b/>
          <w:bCs/>
          <w:iCs/>
          <w:color w:val="000000" w:themeColor="text1"/>
          <w:sz w:val="22"/>
          <w:lang w:val="lv-LV"/>
        </w:rPr>
        <w:t xml:space="preserve"> uz diviem.</w:t>
      </w:r>
      <w:r w:rsidRPr="00783D3D">
        <w:rPr>
          <w:rFonts w:eastAsiaTheme="majorEastAsia" w:cstheme="majorBidi"/>
          <w:iCs/>
          <w:color w:val="000000" w:themeColor="text1"/>
          <w:sz w:val="22"/>
          <w:lang w:val="lv-LV"/>
        </w:rPr>
        <w:t xml:space="preserve"> Tāpēc MSS 802(i) EVO var izmantot divu vai trīs galīgo graudu izmēru ražošanai un </w:t>
      </w:r>
      <w:r w:rsidR="007D3C82" w:rsidRPr="00783D3D">
        <w:rPr>
          <w:rFonts w:eastAsiaTheme="majorEastAsia" w:cstheme="majorBidi"/>
          <w:iCs/>
          <w:color w:val="000000" w:themeColor="text1"/>
          <w:sz w:val="22"/>
          <w:lang w:val="lv-LV"/>
        </w:rPr>
        <w:t>izlādei</w:t>
      </w:r>
      <w:r w:rsidRPr="00783D3D">
        <w:rPr>
          <w:rFonts w:eastAsiaTheme="majorEastAsia" w:cstheme="majorBidi"/>
          <w:iCs/>
          <w:color w:val="000000" w:themeColor="text1"/>
          <w:sz w:val="22"/>
          <w:lang w:val="lv-LV"/>
        </w:rPr>
        <w:t xml:space="preserve">, </w:t>
      </w:r>
      <w:r w:rsidR="007D3C82" w:rsidRPr="00783D3D">
        <w:rPr>
          <w:rFonts w:eastAsiaTheme="majorEastAsia" w:cstheme="majorBidi"/>
          <w:iCs/>
          <w:color w:val="000000" w:themeColor="text1"/>
          <w:sz w:val="22"/>
          <w:lang w:val="lv-LV"/>
        </w:rPr>
        <w:t>turklāt</w:t>
      </w:r>
      <w:r w:rsidRPr="00783D3D">
        <w:rPr>
          <w:rFonts w:eastAsiaTheme="majorEastAsia" w:cstheme="majorBidi"/>
          <w:iCs/>
          <w:color w:val="000000" w:themeColor="text1"/>
          <w:sz w:val="22"/>
          <w:lang w:val="lv-LV"/>
        </w:rPr>
        <w:t xml:space="preserve"> pārveidošana ir ātra un vienkārša</w:t>
      </w:r>
      <w:r w:rsidR="00D65152" w:rsidRPr="00783D3D">
        <w:rPr>
          <w:rFonts w:cs="AvenirNextLTPro-Regular"/>
          <w:iCs/>
          <w:color w:val="000000" w:themeColor="text1"/>
          <w:sz w:val="22"/>
          <w:lang w:val="lv-LV"/>
        </w:rPr>
        <w:t>.</w:t>
      </w:r>
    </w:p>
    <w:p w14:paraId="1760AA5A" w14:textId="3A82733A" w:rsidR="00B55310" w:rsidRPr="00783D3D" w:rsidRDefault="00B55310" w:rsidP="00B74F34">
      <w:pPr>
        <w:autoSpaceDE w:val="0"/>
        <w:autoSpaceDN w:val="0"/>
        <w:adjustRightInd w:val="0"/>
        <w:jc w:val="both"/>
        <w:rPr>
          <w:b/>
          <w:bCs/>
          <w:iCs/>
          <w:color w:val="000000" w:themeColor="text1"/>
          <w:sz w:val="22"/>
          <w:szCs w:val="22"/>
          <w:lang w:val="lv-LV"/>
        </w:rPr>
      </w:pPr>
    </w:p>
    <w:p w14:paraId="0A9EA18F" w14:textId="0989FB75" w:rsidR="00B55310" w:rsidRPr="00783D3D" w:rsidRDefault="003977D0" w:rsidP="00B55310">
      <w:pPr>
        <w:autoSpaceDE w:val="0"/>
        <w:autoSpaceDN w:val="0"/>
        <w:adjustRightInd w:val="0"/>
        <w:rPr>
          <w:b/>
          <w:bCs/>
          <w:iCs/>
          <w:sz w:val="22"/>
          <w:szCs w:val="22"/>
          <w:lang w:val="lv-LV"/>
        </w:rPr>
      </w:pPr>
      <w:r w:rsidRPr="00783D3D">
        <w:rPr>
          <w:b/>
          <w:iCs/>
          <w:sz w:val="22"/>
          <w:lang w:val="lv-LV"/>
        </w:rPr>
        <w:t>Izmantojamība un ergonomika lielākam komfortam un drošībai</w:t>
      </w:r>
      <w:r w:rsidR="00961EE1" w:rsidRPr="00783D3D">
        <w:rPr>
          <w:b/>
          <w:iCs/>
          <w:sz w:val="22"/>
          <w:lang w:val="lv-LV"/>
        </w:rPr>
        <w:t xml:space="preserve"> </w:t>
      </w:r>
    </w:p>
    <w:p w14:paraId="681DE644" w14:textId="0BA03F66" w:rsidR="00961EE1" w:rsidRPr="00783D3D" w:rsidRDefault="005045D2" w:rsidP="001E50EC">
      <w:pPr>
        <w:autoSpaceDE w:val="0"/>
        <w:autoSpaceDN w:val="0"/>
        <w:adjustRightInd w:val="0"/>
        <w:jc w:val="both"/>
        <w:rPr>
          <w:iCs/>
          <w:color w:val="000000" w:themeColor="text1"/>
          <w:sz w:val="22"/>
          <w:szCs w:val="22"/>
          <w:lang w:val="lv-LV"/>
        </w:rPr>
      </w:pPr>
      <w:r w:rsidRPr="00783D3D">
        <w:rPr>
          <w:iCs/>
          <w:color w:val="000000" w:themeColor="text1"/>
          <w:sz w:val="22"/>
          <w:lang w:val="lv-LV"/>
        </w:rPr>
        <w:t>Intuitīva iekārtas vadība ar automātisko palaišanu samazina darbības kļūdu risku un ietaupa mācīšanās laiku. Visas attiecīgās funkcijas var vadīt no droša attāluma, kas nodrošina augstu darba drošību. Citi lietotājam draudzīgi aspekti ietver ļoti labas piekļuves iespējas un atjautīgus tīrīšanas risinājumus, kas samazina apkopes radītās dīkstāves. Izmantojot visus šos risinājumus, Kleemann koncentrējās uz tipisku lietotāju darba dienu. Tas attiecas arī uz standarta sērijas LED apgaismojumu, pēc izvēles pieejamo paplašināto augstākās kvalitātes darba zonu apgaismojumu vai dāsni palielinātajām darba platformām</w:t>
      </w:r>
      <w:r w:rsidR="00961EE1" w:rsidRPr="00783D3D">
        <w:rPr>
          <w:iCs/>
          <w:color w:val="000000" w:themeColor="text1"/>
          <w:sz w:val="22"/>
          <w:lang w:val="lv-LV"/>
        </w:rPr>
        <w:t xml:space="preserve">. </w:t>
      </w:r>
    </w:p>
    <w:p w14:paraId="5FFEACCB" w14:textId="4837E361" w:rsidR="001E50EC" w:rsidRPr="00783D3D" w:rsidRDefault="001E50EC" w:rsidP="001E50EC">
      <w:pPr>
        <w:autoSpaceDE w:val="0"/>
        <w:autoSpaceDN w:val="0"/>
        <w:adjustRightInd w:val="0"/>
        <w:jc w:val="both"/>
        <w:rPr>
          <w:iCs/>
          <w:color w:val="000000" w:themeColor="text1"/>
          <w:sz w:val="22"/>
          <w:szCs w:val="22"/>
          <w:lang w:val="lv-LV"/>
        </w:rPr>
      </w:pPr>
    </w:p>
    <w:p w14:paraId="7FA92D92" w14:textId="1ABDFA6A" w:rsidR="00961EE1" w:rsidRPr="00783D3D" w:rsidRDefault="00746741" w:rsidP="00693907">
      <w:pPr>
        <w:autoSpaceDE w:val="0"/>
        <w:autoSpaceDN w:val="0"/>
        <w:adjustRightInd w:val="0"/>
        <w:jc w:val="both"/>
        <w:rPr>
          <w:b/>
          <w:bCs/>
          <w:iCs/>
          <w:color w:val="000000" w:themeColor="text1"/>
          <w:sz w:val="22"/>
          <w:szCs w:val="22"/>
          <w:lang w:val="lv-LV"/>
        </w:rPr>
      </w:pPr>
      <w:r w:rsidRPr="00783D3D">
        <w:rPr>
          <w:b/>
          <w:iCs/>
          <w:color w:val="000000" w:themeColor="text1"/>
          <w:sz w:val="22"/>
          <w:lang w:val="lv-LV"/>
        </w:rPr>
        <w:t>Efektīva un precīza procesu secība optimālai materiāla plūsmai</w:t>
      </w:r>
    </w:p>
    <w:p w14:paraId="72833A2D" w14:textId="035A6DA2" w:rsidR="00A71CF2" w:rsidRPr="00783D3D" w:rsidRDefault="00E230DD" w:rsidP="00AC5B80">
      <w:pPr>
        <w:autoSpaceDE w:val="0"/>
        <w:autoSpaceDN w:val="0"/>
        <w:adjustRightInd w:val="0"/>
        <w:jc w:val="both"/>
        <w:rPr>
          <w:rFonts w:cs="AvenirNextLTPro-Regular"/>
          <w:iCs/>
          <w:color w:val="485358"/>
          <w:sz w:val="22"/>
          <w:szCs w:val="22"/>
          <w:lang w:val="lv-LV" w:eastAsia="de-DE"/>
        </w:rPr>
      </w:pPr>
      <w:r w:rsidRPr="00783D3D">
        <w:rPr>
          <w:rFonts w:eastAsiaTheme="majorEastAsia" w:cstheme="majorBidi"/>
          <w:iCs/>
          <w:color w:val="000000" w:themeColor="text1"/>
          <w:sz w:val="22"/>
          <w:lang w:val="lv-LV"/>
        </w:rPr>
        <w:t xml:space="preserve">Optimizēta materiālu plūsma ir visu sijāšanas iekārtu galvenais aspekts. Tikai tad, ja visas sastāvdaļas ir saskaņotas viena ar otru, var sasniegt augstu produktivitāti ar minimālām ekspluatācijas izmaksām. Ar savu jauno mobilo sijātāju rupjam malumam Kleemann parāda, ko var sasniegt jaunākās paaudzes sijāšanas iekārtas. Tas ietver </w:t>
      </w:r>
      <w:r w:rsidRPr="00783D3D">
        <w:rPr>
          <w:rFonts w:eastAsiaTheme="majorEastAsia" w:cstheme="majorBidi"/>
          <w:iCs/>
          <w:color w:val="000000" w:themeColor="text1"/>
          <w:sz w:val="22"/>
          <w:lang w:val="lv-LV"/>
        </w:rPr>
        <w:lastRenderedPageBreak/>
        <w:t>plašu drupinātāja izlādes konveijeru, uz kura, tāpat kā visiem citiem konveijeriem, ir bezpakāpju ātruma regulēšana,</w:t>
      </w:r>
      <w:r w:rsidR="003637A0" w:rsidRPr="00783D3D">
        <w:rPr>
          <w:rFonts w:eastAsiaTheme="majorEastAsia" w:cstheme="majorBidi"/>
          <w:iCs/>
          <w:color w:val="000000" w:themeColor="text1"/>
          <w:sz w:val="22"/>
          <w:lang w:val="lv-LV"/>
        </w:rPr>
        <w:t xml:space="preserve"> klāstu,</w:t>
      </w:r>
      <w:r w:rsidRPr="00783D3D">
        <w:rPr>
          <w:rFonts w:eastAsiaTheme="majorEastAsia" w:cstheme="majorBidi"/>
          <w:iCs/>
          <w:color w:val="000000" w:themeColor="text1"/>
          <w:sz w:val="22"/>
          <w:lang w:val="lv-LV"/>
        </w:rPr>
        <w:t xml:space="preserve"> kā arī lielu sistēmu </w:t>
      </w:r>
      <w:r w:rsidR="009168E9" w:rsidRPr="00783D3D">
        <w:rPr>
          <w:rFonts w:eastAsiaTheme="majorEastAsia" w:cstheme="majorBidi"/>
          <w:iCs/>
          <w:color w:val="000000" w:themeColor="text1"/>
          <w:sz w:val="22"/>
          <w:lang w:val="lv-LV"/>
        </w:rPr>
        <w:t xml:space="preserve">materiālu </w:t>
      </w:r>
      <w:r w:rsidR="00BA6832" w:rsidRPr="00783D3D">
        <w:rPr>
          <w:rFonts w:eastAsiaTheme="majorEastAsia" w:cstheme="majorBidi"/>
          <w:iCs/>
          <w:color w:val="000000" w:themeColor="text1"/>
          <w:sz w:val="22"/>
          <w:lang w:val="lv-LV"/>
        </w:rPr>
        <w:t xml:space="preserve">pārnešanai </w:t>
      </w:r>
      <w:r w:rsidRPr="00783D3D">
        <w:rPr>
          <w:rFonts w:eastAsiaTheme="majorEastAsia" w:cstheme="majorBidi"/>
          <w:iCs/>
          <w:color w:val="000000" w:themeColor="text1"/>
          <w:sz w:val="22"/>
          <w:lang w:val="lv-LV"/>
        </w:rPr>
        <w:t>uz sijātāja klāju optimālai sijāšanas virsmas izmantošanai. Liels izlādes augstums un līdz ar to lielāki krājumi, pateicoties pēc izvēles pieejamajam pagarinātajam drupinātāja izlādes konveijeram un teleskopiskajiem sānu izlādes konveijeriem, garantē ideālu procesu būvlaukumā</w:t>
      </w:r>
      <w:r w:rsidR="004B0B2D" w:rsidRPr="00783D3D">
        <w:rPr>
          <w:rFonts w:cs="AvenirNextLTPro-Regular"/>
          <w:iCs/>
          <w:color w:val="000000" w:themeColor="text1"/>
          <w:sz w:val="22"/>
          <w:lang w:val="lv-LV"/>
        </w:rPr>
        <w:t xml:space="preserve">. </w:t>
      </w:r>
    </w:p>
    <w:p w14:paraId="77C0CB54" w14:textId="77777777" w:rsidR="001D0CB5" w:rsidRPr="00783D3D" w:rsidRDefault="001D0CB5" w:rsidP="005040C9">
      <w:pPr>
        <w:autoSpaceDE w:val="0"/>
        <w:autoSpaceDN w:val="0"/>
        <w:adjustRightInd w:val="0"/>
        <w:jc w:val="both"/>
        <w:rPr>
          <w:iCs/>
          <w:color w:val="404040"/>
          <w:sz w:val="22"/>
          <w:szCs w:val="22"/>
          <w:lang w:val="lv-LV" w:eastAsia="de-DE"/>
        </w:rPr>
      </w:pPr>
    </w:p>
    <w:p w14:paraId="1950A225" w14:textId="0C09604D" w:rsidR="00A71CF2" w:rsidRPr="00783D3D" w:rsidRDefault="0086423E" w:rsidP="00AC5B80">
      <w:pPr>
        <w:autoSpaceDE w:val="0"/>
        <w:autoSpaceDN w:val="0"/>
        <w:adjustRightInd w:val="0"/>
        <w:jc w:val="both"/>
        <w:rPr>
          <w:rFonts w:cs="AvenirNextLTPro-Regular"/>
          <w:iCs/>
          <w:color w:val="000000" w:themeColor="text1"/>
          <w:sz w:val="22"/>
          <w:szCs w:val="22"/>
          <w:lang w:val="lv-LV" w:eastAsia="de-DE"/>
        </w:rPr>
      </w:pPr>
      <w:r w:rsidRPr="00783D3D">
        <w:rPr>
          <w:rFonts w:eastAsiaTheme="majorEastAsia" w:cstheme="majorBidi"/>
          <w:iCs/>
          <w:color w:val="000000" w:themeColor="text1"/>
          <w:sz w:val="22"/>
          <w:lang w:val="lv-LV"/>
        </w:rPr>
        <w:t>Pats par sevi saprotams, ka jauno MOBISCREEN MSS 802(i) EVO var darbināt, izmantojot līnijas savienojumu ar visām procesā un drošības sistēmā integrētajām EVO un PRO drupināšanas iekārtām. Īpašu pielietojuma elastību nodrošina procesa savienojumam nepieciešamā krājumu zonde, kuru var novietot uz jebkura iekārtas izlādes konveijera</w:t>
      </w:r>
      <w:r w:rsidR="001D0CB5" w:rsidRPr="00783D3D">
        <w:rPr>
          <w:rFonts w:cs="AvenirNextLTPro-Regular"/>
          <w:iCs/>
          <w:color w:val="000000" w:themeColor="text1"/>
          <w:sz w:val="22"/>
          <w:lang w:val="lv-LV"/>
        </w:rPr>
        <w:t>.</w:t>
      </w:r>
    </w:p>
    <w:p w14:paraId="49A46EB5" w14:textId="77777777" w:rsidR="00D95EAF" w:rsidRPr="00783D3D" w:rsidRDefault="00D95EAF" w:rsidP="00AC5B80">
      <w:pPr>
        <w:autoSpaceDE w:val="0"/>
        <w:autoSpaceDN w:val="0"/>
        <w:adjustRightInd w:val="0"/>
        <w:jc w:val="both"/>
        <w:rPr>
          <w:b/>
          <w:iCs/>
          <w:color w:val="000000" w:themeColor="text1"/>
          <w:sz w:val="22"/>
          <w:szCs w:val="22"/>
          <w:lang w:val="lv-LV"/>
        </w:rPr>
      </w:pPr>
    </w:p>
    <w:p w14:paraId="36CB16CA" w14:textId="77777777" w:rsidR="000E24F8" w:rsidRPr="00783D3D" w:rsidRDefault="000E24F8" w:rsidP="000E24F8">
      <w:pPr>
        <w:pStyle w:val="Text"/>
        <w:rPr>
          <w:b/>
          <w:iCs/>
          <w:color w:val="000000" w:themeColor="text1"/>
          <w:lang w:val="lv-LV"/>
        </w:rPr>
      </w:pPr>
    </w:p>
    <w:p w14:paraId="4DFA7DF7" w14:textId="7602F496" w:rsidR="008755E5" w:rsidRPr="00783D3D" w:rsidRDefault="0086423E" w:rsidP="008755E5">
      <w:pPr>
        <w:pStyle w:val="HeadlineFotos"/>
        <w:rPr>
          <w:iCs/>
          <w:lang w:val="lv-LV"/>
        </w:rPr>
      </w:pPr>
      <w:r w:rsidRPr="00783D3D">
        <w:rPr>
          <w:rFonts w:eastAsia="Calibri" w:cs="Arial"/>
          <w:iCs/>
          <w:caps w:val="0"/>
          <w:lang w:val="lv-LV"/>
        </w:rPr>
        <w:t>Attēli</w:t>
      </w:r>
      <w:r w:rsidR="008755E5" w:rsidRPr="00783D3D">
        <w:rPr>
          <w:iCs/>
          <w:lang w:val="lv-LV"/>
        </w:rPr>
        <w:t>:</w:t>
      </w:r>
    </w:p>
    <w:tbl>
      <w:tblPr>
        <w:tblStyle w:val="Basic"/>
        <w:tblW w:w="9274" w:type="dxa"/>
        <w:tblCellSpacing w:w="71" w:type="dxa"/>
        <w:tblLook w:val="04A0" w:firstRow="1" w:lastRow="0" w:firstColumn="1" w:lastColumn="0" w:noHBand="0" w:noVBand="1"/>
      </w:tblPr>
      <w:tblGrid>
        <w:gridCol w:w="4692"/>
        <w:gridCol w:w="4582"/>
      </w:tblGrid>
      <w:tr w:rsidR="00A06278" w:rsidRPr="00783D3D"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152903C2" w:rsidR="008755E5" w:rsidRPr="00783D3D" w:rsidRDefault="0004476E" w:rsidP="008E7B5E">
            <w:pPr>
              <w:rPr>
                <w:iCs/>
                <w:lang w:val="lv-LV"/>
              </w:rPr>
            </w:pPr>
            <w:r w:rsidRPr="00783D3D">
              <w:rPr>
                <w:iCs/>
                <w:noProof/>
                <w:lang w:val="lv-LV"/>
              </w:rPr>
              <w:drawing>
                <wp:inline distT="0" distB="0" distL="0" distR="0" wp14:anchorId="6181E3C5" wp14:editId="4192ABA8">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3C8FB049" w:rsidR="00A06278" w:rsidRPr="00783D3D" w:rsidRDefault="004A3FDF" w:rsidP="00A06278">
            <w:pPr>
              <w:pStyle w:val="Text"/>
              <w:jc w:val="left"/>
              <w:rPr>
                <w:b/>
                <w:bCs/>
                <w:iCs/>
                <w:color w:val="000000" w:themeColor="text1"/>
                <w:sz w:val="20"/>
                <w:szCs w:val="20"/>
                <w:lang w:val="lv-LV"/>
              </w:rPr>
            </w:pPr>
            <w:r w:rsidRPr="00783D3D">
              <w:rPr>
                <w:b/>
                <w:iCs/>
                <w:color w:val="000000" w:themeColor="text1"/>
                <w:sz w:val="20"/>
                <w:lang w:val="lv-LV"/>
              </w:rPr>
              <w:t>KL_MOBISCREEN_MSS_802_EVO</w:t>
            </w:r>
            <w:r w:rsidRPr="00783D3D">
              <w:rPr>
                <w:b/>
                <w:iCs/>
                <w:color w:val="000000" w:themeColor="text1"/>
                <w:sz w:val="20"/>
                <w:lang w:val="lv-LV"/>
              </w:rPr>
              <w:br/>
            </w:r>
          </w:p>
          <w:p w14:paraId="6CC88CE3" w14:textId="77225B4F" w:rsidR="005710C8" w:rsidRPr="00783D3D" w:rsidRDefault="00B82028" w:rsidP="00A71CF2">
            <w:pPr>
              <w:pStyle w:val="Text"/>
              <w:jc w:val="left"/>
              <w:rPr>
                <w:iCs/>
                <w:sz w:val="20"/>
                <w:lang w:val="lv-LV"/>
              </w:rPr>
            </w:pPr>
            <w:r w:rsidRPr="00783D3D">
              <w:rPr>
                <w:iCs/>
                <w:color w:val="000000" w:themeColor="text1"/>
                <w:sz w:val="20"/>
                <w:lang w:val="lv-LV"/>
              </w:rPr>
              <w:t>MSS 802(i) EVO pārsteidz ar dabīgā akmens un apstrādes padeves jaudu līdz 500 t/h.</w:t>
            </w:r>
          </w:p>
        </w:tc>
      </w:tr>
    </w:tbl>
    <w:p w14:paraId="747192E1" w14:textId="77777777" w:rsidR="005710C8" w:rsidRPr="00783D3D" w:rsidRDefault="005710C8" w:rsidP="008755E5">
      <w:pPr>
        <w:pStyle w:val="Text"/>
        <w:rPr>
          <w:iCs/>
          <w:lang w:val="lv-LV"/>
        </w:rPr>
      </w:pPr>
    </w:p>
    <w:p w14:paraId="2B0AA557" w14:textId="79326135" w:rsidR="008755E5" w:rsidRPr="00783D3D" w:rsidRDefault="00734EC4" w:rsidP="008755E5">
      <w:pPr>
        <w:pStyle w:val="Text"/>
        <w:rPr>
          <w:i/>
          <w:lang w:val="lv-LV"/>
        </w:rPr>
      </w:pPr>
      <w:r w:rsidRPr="00783D3D">
        <w:rPr>
          <w:i/>
          <w:u w:val="single"/>
          <w:lang w:val="lv-LV"/>
        </w:rPr>
        <w:t>Piezīme. Šis fotoattēls kalpo tikai kā priekšskatījums. Drukāšanai publikācijās lūdzu izmantojiet fotogrāfiju 300 dpi izšķirtspējā, kas pieejama lejupielādei Wirtgen Group mājaslapās</w:t>
      </w:r>
      <w:r w:rsidR="00651E5D" w:rsidRPr="00783D3D">
        <w:rPr>
          <w:i/>
          <w:lang w:val="lv-LV"/>
        </w:rPr>
        <w:t>.</w:t>
      </w:r>
    </w:p>
    <w:p w14:paraId="0B08463F" w14:textId="079ABBBC" w:rsidR="008755E5" w:rsidRDefault="008755E5" w:rsidP="008755E5">
      <w:pPr>
        <w:pStyle w:val="Text"/>
        <w:rPr>
          <w:iCs/>
          <w:lang w:val="lv-LV"/>
        </w:rPr>
      </w:pPr>
    </w:p>
    <w:p w14:paraId="5620C0D6" w14:textId="77777777" w:rsidR="00783D3D" w:rsidRPr="00783D3D" w:rsidRDefault="00783D3D" w:rsidP="008755E5">
      <w:pPr>
        <w:pStyle w:val="Text"/>
        <w:rPr>
          <w:iCs/>
          <w:lang w:val="lv-LV"/>
        </w:rPr>
      </w:pPr>
    </w:p>
    <w:tbl>
      <w:tblPr>
        <w:tblStyle w:val="Basic"/>
        <w:tblW w:w="0" w:type="auto"/>
        <w:tblLook w:val="04A0" w:firstRow="1" w:lastRow="0" w:firstColumn="1" w:lastColumn="0" w:noHBand="0" w:noVBand="1"/>
      </w:tblPr>
      <w:tblGrid>
        <w:gridCol w:w="4776"/>
        <w:gridCol w:w="4748"/>
      </w:tblGrid>
      <w:tr w:rsidR="008755E5" w:rsidRPr="00783D3D"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DCFA73F" w14:textId="42628B83" w:rsidR="008755E5" w:rsidRPr="00783D3D" w:rsidRDefault="004F2AE7" w:rsidP="008E7B5E">
            <w:pPr>
              <w:pStyle w:val="HeadlineKontakte"/>
              <w:rPr>
                <w:iCs/>
                <w:lang w:val="lv-LV"/>
              </w:rPr>
            </w:pPr>
            <w:r w:rsidRPr="00783D3D">
              <w:rPr>
                <w:rFonts w:eastAsia="Calibri" w:cs="Arial"/>
                <w:iCs/>
                <w:caps w:val="0"/>
                <w:lang w:val="lv-LV"/>
              </w:rPr>
              <w:t>Papildu informācija pieejama no</w:t>
            </w:r>
            <w:r w:rsidR="008755E5" w:rsidRPr="00783D3D">
              <w:rPr>
                <w:iCs/>
                <w:lang w:val="lv-LV"/>
              </w:rPr>
              <w:t>:</w:t>
            </w:r>
          </w:p>
          <w:p w14:paraId="624FF247" w14:textId="77777777" w:rsidR="008755E5" w:rsidRPr="00783D3D" w:rsidRDefault="008755E5" w:rsidP="008E7B5E">
            <w:pPr>
              <w:pStyle w:val="Text"/>
              <w:rPr>
                <w:iCs/>
                <w:lang w:val="lv-LV"/>
              </w:rPr>
            </w:pPr>
            <w:r w:rsidRPr="00783D3D">
              <w:rPr>
                <w:iCs/>
                <w:lang w:val="lv-LV"/>
              </w:rPr>
              <w:t>WIRTGEN GROUP</w:t>
            </w:r>
          </w:p>
          <w:p w14:paraId="300E7831" w14:textId="24BF0CAB" w:rsidR="008755E5" w:rsidRPr="00783D3D" w:rsidRDefault="004F2AE7" w:rsidP="008E7B5E">
            <w:pPr>
              <w:pStyle w:val="Text"/>
              <w:rPr>
                <w:iCs/>
                <w:lang w:val="lv-LV"/>
              </w:rPr>
            </w:pPr>
            <w:r w:rsidRPr="00783D3D">
              <w:rPr>
                <w:iCs/>
                <w:lang w:val="lv-LV"/>
              </w:rPr>
              <w:t>Sabiedrisko attiecību departaments</w:t>
            </w:r>
          </w:p>
          <w:p w14:paraId="3625C6F1" w14:textId="77777777" w:rsidR="008755E5" w:rsidRPr="00783D3D" w:rsidRDefault="008755E5" w:rsidP="008E7B5E">
            <w:pPr>
              <w:pStyle w:val="Text"/>
              <w:rPr>
                <w:iCs/>
                <w:lang w:val="lv-LV"/>
              </w:rPr>
            </w:pPr>
            <w:r w:rsidRPr="00783D3D">
              <w:rPr>
                <w:iCs/>
                <w:lang w:val="lv-LV"/>
              </w:rPr>
              <w:t>Reinhard-Wirtgen-Straße 2</w:t>
            </w:r>
          </w:p>
          <w:p w14:paraId="624DEEE7" w14:textId="52909895" w:rsidR="008755E5" w:rsidRPr="00783D3D" w:rsidRDefault="008755E5" w:rsidP="008E7B5E">
            <w:pPr>
              <w:pStyle w:val="Text"/>
              <w:rPr>
                <w:iCs/>
                <w:lang w:val="lv-LV"/>
              </w:rPr>
            </w:pPr>
            <w:r w:rsidRPr="00783D3D">
              <w:rPr>
                <w:iCs/>
                <w:lang w:val="lv-LV"/>
              </w:rPr>
              <w:t xml:space="preserve">53578 </w:t>
            </w:r>
            <w:r w:rsidR="004F2AE7" w:rsidRPr="00783D3D">
              <w:rPr>
                <w:iCs/>
                <w:lang w:val="lv-LV"/>
              </w:rPr>
              <w:t>Vindhāgena</w:t>
            </w:r>
          </w:p>
          <w:p w14:paraId="62D30E93" w14:textId="1D5A8B0F" w:rsidR="008755E5" w:rsidRPr="00783D3D" w:rsidRDefault="004F2AE7" w:rsidP="008E7B5E">
            <w:pPr>
              <w:pStyle w:val="Text"/>
              <w:rPr>
                <w:iCs/>
                <w:lang w:val="lv-LV"/>
              </w:rPr>
            </w:pPr>
            <w:r w:rsidRPr="00783D3D">
              <w:rPr>
                <w:iCs/>
                <w:lang w:val="lv-LV"/>
              </w:rPr>
              <w:t>Vācija</w:t>
            </w:r>
          </w:p>
          <w:p w14:paraId="55E30481" w14:textId="77777777" w:rsidR="008755E5" w:rsidRPr="00783D3D" w:rsidRDefault="008755E5" w:rsidP="008E7B5E">
            <w:pPr>
              <w:pStyle w:val="Text"/>
              <w:rPr>
                <w:iCs/>
                <w:lang w:val="lv-LV"/>
              </w:rPr>
            </w:pPr>
          </w:p>
          <w:p w14:paraId="0130A04F" w14:textId="0F5D9D8E" w:rsidR="002603EC" w:rsidRPr="00783D3D" w:rsidRDefault="004F2AE7" w:rsidP="008E7B5E">
            <w:pPr>
              <w:pStyle w:val="Text"/>
              <w:rPr>
                <w:iCs/>
                <w:color w:val="FF0000"/>
                <w:lang w:val="lv-LV"/>
              </w:rPr>
            </w:pPr>
            <w:r w:rsidRPr="00783D3D">
              <w:rPr>
                <w:iCs/>
                <w:lang w:val="lv-LV"/>
              </w:rPr>
              <w:t>Tālrunis</w:t>
            </w:r>
            <w:r w:rsidR="008755E5" w:rsidRPr="00783D3D">
              <w:rPr>
                <w:iCs/>
                <w:lang w:val="lv-LV"/>
              </w:rPr>
              <w:t xml:space="preserve">: +49 (0) 2645 131 </w:t>
            </w:r>
            <w:r w:rsidR="008755E5" w:rsidRPr="00783D3D">
              <w:rPr>
                <w:iCs/>
                <w:color w:val="000000" w:themeColor="text1"/>
                <w:lang w:val="lv-LV"/>
              </w:rPr>
              <w:t xml:space="preserve">– 1966 </w:t>
            </w:r>
          </w:p>
          <w:p w14:paraId="4182A933" w14:textId="6E8F407B" w:rsidR="008755E5" w:rsidRPr="00783D3D" w:rsidRDefault="008755E5" w:rsidP="008E7B5E">
            <w:pPr>
              <w:pStyle w:val="Text"/>
              <w:rPr>
                <w:iCs/>
                <w:lang w:val="lv-LV"/>
              </w:rPr>
            </w:pPr>
            <w:r w:rsidRPr="00783D3D">
              <w:rPr>
                <w:iCs/>
                <w:lang w:val="lv-LV"/>
              </w:rPr>
              <w:t>Fa</w:t>
            </w:r>
            <w:r w:rsidR="004F2AE7" w:rsidRPr="00783D3D">
              <w:rPr>
                <w:iCs/>
                <w:lang w:val="lv-LV"/>
              </w:rPr>
              <w:t>kss</w:t>
            </w:r>
            <w:r w:rsidRPr="00783D3D">
              <w:rPr>
                <w:iCs/>
                <w:lang w:val="lv-LV"/>
              </w:rPr>
              <w:t>: +49 (0) 2645 131 – 499</w:t>
            </w:r>
          </w:p>
          <w:p w14:paraId="4CA1F3B4" w14:textId="3AD61D13" w:rsidR="008755E5" w:rsidRPr="00783D3D" w:rsidRDefault="008755E5" w:rsidP="008E7B5E">
            <w:pPr>
              <w:pStyle w:val="Text"/>
              <w:rPr>
                <w:iCs/>
                <w:lang w:val="lv-LV"/>
              </w:rPr>
            </w:pPr>
            <w:r w:rsidRPr="00783D3D">
              <w:rPr>
                <w:iCs/>
                <w:lang w:val="lv-LV"/>
              </w:rPr>
              <w:t>E-</w:t>
            </w:r>
            <w:r w:rsidR="004F2AE7" w:rsidRPr="00783D3D">
              <w:rPr>
                <w:iCs/>
                <w:lang w:val="lv-LV"/>
              </w:rPr>
              <w:t>pasts</w:t>
            </w:r>
            <w:r w:rsidRPr="00783D3D">
              <w:rPr>
                <w:iCs/>
                <w:lang w:val="lv-LV"/>
              </w:rPr>
              <w:t>: PR@wirtgen-group.com</w:t>
            </w:r>
          </w:p>
          <w:p w14:paraId="5B4D15E7" w14:textId="5BC533B1" w:rsidR="002D2EE5" w:rsidRPr="00783D3D" w:rsidRDefault="002D2EE5" w:rsidP="008E7B5E">
            <w:pPr>
              <w:pStyle w:val="Text"/>
              <w:rPr>
                <w:iCs/>
                <w:lang w:val="lv-LV"/>
              </w:rPr>
            </w:pPr>
            <w:r w:rsidRPr="00783D3D">
              <w:rPr>
                <w:iCs/>
                <w:lang w:val="lv-LV"/>
              </w:rPr>
              <w:t>www.wirtgen-group.com</w:t>
            </w:r>
          </w:p>
        </w:tc>
        <w:tc>
          <w:tcPr>
            <w:tcW w:w="4832" w:type="dxa"/>
            <w:tcBorders>
              <w:left w:val="single" w:sz="48" w:space="0" w:color="FFFFFF" w:themeColor="background1"/>
            </w:tcBorders>
          </w:tcPr>
          <w:p w14:paraId="374E2C17" w14:textId="77777777" w:rsidR="008755E5" w:rsidRPr="00783D3D" w:rsidRDefault="008755E5" w:rsidP="008E7B5E">
            <w:pPr>
              <w:pStyle w:val="Text"/>
              <w:rPr>
                <w:iCs/>
                <w:lang w:val="lv-LV"/>
              </w:rPr>
            </w:pPr>
          </w:p>
        </w:tc>
      </w:tr>
    </w:tbl>
    <w:p w14:paraId="5021EEFC" w14:textId="77777777" w:rsidR="00D166AC" w:rsidRPr="00783D3D" w:rsidRDefault="00D166AC" w:rsidP="00407E4E">
      <w:pPr>
        <w:spacing w:line="280" w:lineRule="atLeast"/>
        <w:jc w:val="both"/>
        <w:rPr>
          <w:iCs/>
          <w:lang w:val="lv-LV"/>
        </w:rPr>
      </w:pPr>
    </w:p>
    <w:sectPr w:rsidR="00D166AC" w:rsidRPr="00783D3D"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B373A" w14:textId="77777777" w:rsidR="002379E2" w:rsidRDefault="002379E2" w:rsidP="00E55534">
      <w:r>
        <w:separator/>
      </w:r>
    </w:p>
  </w:endnote>
  <w:endnote w:type="continuationSeparator" w:id="0">
    <w:p w14:paraId="1768B976" w14:textId="77777777" w:rsidR="002379E2" w:rsidRDefault="002379E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656CFB8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476E">
            <w:rPr>
              <w:rStyle w:val="Hervorhebung"/>
              <w:lang w:val="de-DE"/>
            </w:rPr>
            <w:t>WIRTGEN GmbH</w:t>
          </w:r>
          <w:r w:rsidRPr="0004476E">
            <w:rPr>
              <w:lang w:val="de-DE"/>
            </w:rPr>
            <w:t xml:space="preserve"> · Reinhard-Wirtgen-Str. </w:t>
          </w:r>
          <w:r>
            <w:t xml:space="preserve">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23981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4E3E2" w14:textId="77777777" w:rsidR="002379E2" w:rsidRDefault="002379E2" w:rsidP="00E55534">
      <w:r>
        <w:separator/>
      </w:r>
    </w:p>
  </w:footnote>
  <w:footnote w:type="continuationSeparator" w:id="0">
    <w:p w14:paraId="7612C865" w14:textId="77777777" w:rsidR="002379E2" w:rsidRDefault="002379E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8CDCDE5"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4476E"/>
    <w:rsid w:val="0005285B"/>
    <w:rsid w:val="00055529"/>
    <w:rsid w:val="00066793"/>
    <w:rsid w:val="00066D09"/>
    <w:rsid w:val="0007706F"/>
    <w:rsid w:val="00080924"/>
    <w:rsid w:val="000947C9"/>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379E2"/>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37A0"/>
    <w:rsid w:val="0036561D"/>
    <w:rsid w:val="003665BE"/>
    <w:rsid w:val="0036743C"/>
    <w:rsid w:val="00384A08"/>
    <w:rsid w:val="003967E5"/>
    <w:rsid w:val="003977D0"/>
    <w:rsid w:val="003A753A"/>
    <w:rsid w:val="003E1CB6"/>
    <w:rsid w:val="003E3CF6"/>
    <w:rsid w:val="003E759F"/>
    <w:rsid w:val="003E7853"/>
    <w:rsid w:val="00400FD9"/>
    <w:rsid w:val="004016F7"/>
    <w:rsid w:val="00403373"/>
    <w:rsid w:val="00406C81"/>
    <w:rsid w:val="00407E4E"/>
    <w:rsid w:val="00412545"/>
    <w:rsid w:val="00430098"/>
    <w:rsid w:val="00430BB0"/>
    <w:rsid w:val="00476100"/>
    <w:rsid w:val="00487BFC"/>
    <w:rsid w:val="004A3FDF"/>
    <w:rsid w:val="004B0B2D"/>
    <w:rsid w:val="004D23D0"/>
    <w:rsid w:val="004D2BE0"/>
    <w:rsid w:val="004E6EF5"/>
    <w:rsid w:val="004F2AE7"/>
    <w:rsid w:val="005040C9"/>
    <w:rsid w:val="005045D2"/>
    <w:rsid w:val="00506409"/>
    <w:rsid w:val="00530E32"/>
    <w:rsid w:val="00533132"/>
    <w:rsid w:val="00541DEA"/>
    <w:rsid w:val="005649F4"/>
    <w:rsid w:val="005710C8"/>
    <w:rsid w:val="005711A3"/>
    <w:rsid w:val="00571A5C"/>
    <w:rsid w:val="00573B2B"/>
    <w:rsid w:val="005776E9"/>
    <w:rsid w:val="0058443C"/>
    <w:rsid w:val="0058643F"/>
    <w:rsid w:val="005A06B5"/>
    <w:rsid w:val="005A4F04"/>
    <w:rsid w:val="005B5793"/>
    <w:rsid w:val="005D7DD7"/>
    <w:rsid w:val="006014B5"/>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33E2F"/>
    <w:rsid w:val="00734EC4"/>
    <w:rsid w:val="00746741"/>
    <w:rsid w:val="00755AE0"/>
    <w:rsid w:val="0075761B"/>
    <w:rsid w:val="00757B83"/>
    <w:rsid w:val="00783D3D"/>
    <w:rsid w:val="00791A69"/>
    <w:rsid w:val="00794830"/>
    <w:rsid w:val="007975B9"/>
    <w:rsid w:val="00797CAA"/>
    <w:rsid w:val="007C2658"/>
    <w:rsid w:val="007D3C82"/>
    <w:rsid w:val="007D59A2"/>
    <w:rsid w:val="007E20D0"/>
    <w:rsid w:val="007E3DAB"/>
    <w:rsid w:val="008053B3"/>
    <w:rsid w:val="00820315"/>
    <w:rsid w:val="00832921"/>
    <w:rsid w:val="008427F2"/>
    <w:rsid w:val="00843B45"/>
    <w:rsid w:val="00863129"/>
    <w:rsid w:val="0086423E"/>
    <w:rsid w:val="00866830"/>
    <w:rsid w:val="008755E5"/>
    <w:rsid w:val="00892F6F"/>
    <w:rsid w:val="00896F7E"/>
    <w:rsid w:val="008C29DD"/>
    <w:rsid w:val="008C2A29"/>
    <w:rsid w:val="008C2DB2"/>
    <w:rsid w:val="008D770E"/>
    <w:rsid w:val="0090337E"/>
    <w:rsid w:val="00915993"/>
    <w:rsid w:val="009168E9"/>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1E4C"/>
    <w:rsid w:val="009F4627"/>
    <w:rsid w:val="00A02F49"/>
    <w:rsid w:val="00A06278"/>
    <w:rsid w:val="00A171F4"/>
    <w:rsid w:val="00A1772D"/>
    <w:rsid w:val="00A177B2"/>
    <w:rsid w:val="00A21537"/>
    <w:rsid w:val="00A24EFC"/>
    <w:rsid w:val="00A51F29"/>
    <w:rsid w:val="00A56A89"/>
    <w:rsid w:val="00A71CF2"/>
    <w:rsid w:val="00A977CE"/>
    <w:rsid w:val="00AB3D41"/>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2028"/>
    <w:rsid w:val="00B85BDB"/>
    <w:rsid w:val="00B90F78"/>
    <w:rsid w:val="00B910A1"/>
    <w:rsid w:val="00BA6832"/>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3DDE"/>
    <w:rsid w:val="00C644CA"/>
    <w:rsid w:val="00C73005"/>
    <w:rsid w:val="00C85E18"/>
    <w:rsid w:val="00CA4A09"/>
    <w:rsid w:val="00CC787C"/>
    <w:rsid w:val="00CF36C9"/>
    <w:rsid w:val="00D00EC4"/>
    <w:rsid w:val="00D02017"/>
    <w:rsid w:val="00D10C6F"/>
    <w:rsid w:val="00D121CD"/>
    <w:rsid w:val="00D166AC"/>
    <w:rsid w:val="00D36BA2"/>
    <w:rsid w:val="00D37CF4"/>
    <w:rsid w:val="00D40807"/>
    <w:rsid w:val="00D4487C"/>
    <w:rsid w:val="00D65152"/>
    <w:rsid w:val="00D95EAF"/>
    <w:rsid w:val="00DA0992"/>
    <w:rsid w:val="00DB4BB0"/>
    <w:rsid w:val="00DE461D"/>
    <w:rsid w:val="00E04039"/>
    <w:rsid w:val="00E14608"/>
    <w:rsid w:val="00E21E67"/>
    <w:rsid w:val="00E230DD"/>
    <w:rsid w:val="00E30EBF"/>
    <w:rsid w:val="00E316C0"/>
    <w:rsid w:val="00E52D70"/>
    <w:rsid w:val="00E55534"/>
    <w:rsid w:val="00E7116D"/>
    <w:rsid w:val="00E914D1"/>
    <w:rsid w:val="00E960D8"/>
    <w:rsid w:val="00EF512B"/>
    <w:rsid w:val="00F20920"/>
    <w:rsid w:val="00F23212"/>
    <w:rsid w:val="00F30469"/>
    <w:rsid w:val="00F33B16"/>
    <w:rsid w:val="00F34070"/>
    <w:rsid w:val="00F353EA"/>
    <w:rsid w:val="00F56318"/>
    <w:rsid w:val="00F755B5"/>
    <w:rsid w:val="00F75B79"/>
    <w:rsid w:val="00F82525"/>
    <w:rsid w:val="00F93924"/>
    <w:rsid w:val="00F97FEA"/>
    <w:rsid w:val="00FB60E1"/>
    <w:rsid w:val="00FD3768"/>
    <w:rsid w:val="00FD41AE"/>
    <w:rsid w:val="00FE2B44"/>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601</Words>
  <Characters>3792</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2021-03-03T14:19:00Z</cp:lastPrinted>
  <dcterms:created xsi:type="dcterms:W3CDTF">2022-01-05T08:28:00Z</dcterms:created>
  <dcterms:modified xsi:type="dcterms:W3CDTF">2022-01-05T08:28:00Z</dcterms:modified>
</cp:coreProperties>
</file>