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202A54" w:rsidRDefault="000E24F8" w:rsidP="002F5818">
      <w:pPr>
        <w:pStyle w:val="1RoadNews"/>
        <w:rPr>
          <w:rFonts w:ascii="Verdana" w:hAnsi="Verdana"/>
          <w:b/>
          <w:color w:val="000000" w:themeColor="text1"/>
          <w:sz w:val="40"/>
          <w:szCs w:val="40"/>
        </w:rPr>
      </w:pPr>
      <w:r w:rsidRPr="00202A54">
        <w:rPr>
          <w:rFonts w:ascii="Verdana" w:eastAsia="Arial Unicode MS" w:hAnsi="Verdana" w:cs="Arial Unicode MS"/>
          <w:b/>
          <w:sz w:val="40"/>
        </w:rPr>
        <w:t xml:space="preserve">Kleemann </w:t>
      </w:r>
      <w:r w:rsidRPr="00202A54">
        <w:rPr>
          <w:rFonts w:ascii="Verdana" w:eastAsia="Arial Unicode MS" w:hAnsi="Verdana" w:cs="Arial Unicode MS"/>
          <w:spacing w:val="0"/>
          <w:sz w:val="40"/>
        </w:rPr>
        <w:t xml:space="preserve">| </w:t>
      </w:r>
      <w:r w:rsidRPr="00202A54">
        <w:rPr>
          <w:rFonts w:ascii="Verdana" w:eastAsiaTheme="majorEastAsia" w:hAnsi="Verdana" w:cstheme="majorBidi"/>
          <w:b/>
          <w:color w:val="000000" w:themeColor="text1"/>
          <w:sz w:val="40"/>
        </w:rPr>
        <w:t xml:space="preserve">Mobil kaba parçalar için elek MOBISCREEN MSS 802(i) EVO </w:t>
      </w:r>
    </w:p>
    <w:p w14:paraId="7C5C724F" w14:textId="77777777" w:rsidR="00936A78" w:rsidRPr="00202A54" w:rsidRDefault="00936A78" w:rsidP="00BD5391">
      <w:pPr>
        <w:spacing w:line="276" w:lineRule="auto"/>
        <w:jc w:val="both"/>
        <w:rPr>
          <w:b/>
          <w:iCs/>
          <w:sz w:val="22"/>
        </w:rPr>
      </w:pPr>
    </w:p>
    <w:p w14:paraId="5C26AFAE" w14:textId="77C32E23" w:rsidR="00D4487C" w:rsidRPr="00202A54" w:rsidRDefault="00634D99" w:rsidP="00BD5391">
      <w:pPr>
        <w:spacing w:line="276" w:lineRule="auto"/>
        <w:jc w:val="both"/>
        <w:rPr>
          <w:b/>
          <w:iCs/>
          <w:sz w:val="28"/>
          <w:szCs w:val="28"/>
        </w:rPr>
      </w:pPr>
      <w:r w:rsidRPr="00202A54">
        <w:rPr>
          <w:rFonts w:eastAsia="Arial Unicode MS" w:cs="Arial Unicode MS"/>
          <w:b/>
          <w:sz w:val="28"/>
        </w:rPr>
        <w:t>Sahada daha fazla esneklik ve verimlilik</w:t>
      </w:r>
    </w:p>
    <w:p w14:paraId="181AB6F8" w14:textId="77777777" w:rsidR="00634D99" w:rsidRPr="00202A54"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202A54" w:rsidRDefault="00634D99" w:rsidP="00D4487C">
      <w:pPr>
        <w:autoSpaceDE w:val="0"/>
        <w:autoSpaceDN w:val="0"/>
        <w:adjustRightInd w:val="0"/>
        <w:jc w:val="both"/>
        <w:rPr>
          <w:rFonts w:cs="ƒG'E3˛"/>
          <w:b/>
          <w:bCs/>
          <w:sz w:val="22"/>
          <w:szCs w:val="22"/>
          <w:lang w:eastAsia="de-DE"/>
        </w:rPr>
      </w:pPr>
      <w:r w:rsidRPr="00202A54">
        <w:rPr>
          <w:rFonts w:eastAsiaTheme="majorEastAsia" w:cstheme="majorBidi"/>
          <w:b/>
          <w:color w:val="000000" w:themeColor="text1"/>
          <w:sz w:val="22"/>
        </w:rPr>
        <w:t>Çeşitli kullanım alanlarındaki değişen zorluklar için tasarlanmış olan, yeni MOBISCREEN MSS 802(i) EVO kaba eleme sistemi, kullanıcılara güçlü</w:t>
      </w:r>
      <w:r w:rsidRPr="00202A54">
        <w:rPr>
          <w:rFonts w:eastAsiaTheme="majorEastAsia" w:cstheme="majorBidi"/>
          <w:b/>
          <w:color w:val="000000" w:themeColor="text1"/>
          <w:sz w:val="40"/>
        </w:rPr>
        <w:t xml:space="preserve"> </w:t>
      </w:r>
      <w:r w:rsidRPr="00202A54">
        <w:rPr>
          <w:rFonts w:eastAsiaTheme="majorEastAsia" w:cstheme="majorBidi"/>
          <w:b/>
          <w:color w:val="000000" w:themeColor="text1"/>
          <w:sz w:val="22"/>
        </w:rPr>
        <w:t xml:space="preserve">bir mobil elek tesisi sunmaktadır. Kleemann, iyi düşünülmüş sistem tasarımı ve esnek dönüşüm olanakları ile, doğal taş / doğal kaya ve geri dönüşüm uygulamaları için yüksek malzeme akışının nasıl garanti edilebileceğini göstermektedir. </w:t>
      </w:r>
    </w:p>
    <w:p w14:paraId="7FDD6A83" w14:textId="79E5D73A" w:rsidR="00A1772D" w:rsidRPr="00202A54" w:rsidRDefault="00A1772D" w:rsidP="00D4487C">
      <w:pPr>
        <w:jc w:val="both"/>
        <w:rPr>
          <w:b/>
          <w:color w:val="FF0000"/>
          <w:sz w:val="22"/>
        </w:rPr>
      </w:pPr>
    </w:p>
    <w:p w14:paraId="74E0EBB0" w14:textId="7DC1582A" w:rsidR="000E5738" w:rsidRPr="00202A54" w:rsidRDefault="00066793" w:rsidP="00D4487C">
      <w:pPr>
        <w:jc w:val="both"/>
        <w:rPr>
          <w:b/>
          <w:color w:val="000000" w:themeColor="text1"/>
          <w:sz w:val="22"/>
        </w:rPr>
      </w:pPr>
      <w:r w:rsidRPr="00202A54">
        <w:rPr>
          <w:rFonts w:eastAsia="Arial Unicode MS" w:cs="Arial Unicode MS"/>
          <w:b/>
          <w:color w:val="000000" w:themeColor="text1"/>
          <w:sz w:val="22"/>
        </w:rPr>
        <w:t>Eleme işlemi artık çok kolay</w:t>
      </w:r>
    </w:p>
    <w:p w14:paraId="6DC45D2C" w14:textId="6B9C22EB" w:rsidR="00066793" w:rsidRPr="00202A54" w:rsidRDefault="00066793" w:rsidP="009C5D99">
      <w:pPr>
        <w:jc w:val="both"/>
        <w:rPr>
          <w:rFonts w:eastAsiaTheme="majorEastAsia" w:cstheme="majorBidi"/>
          <w:bCs/>
          <w:color w:val="000000" w:themeColor="text1"/>
          <w:sz w:val="22"/>
          <w:szCs w:val="22"/>
        </w:rPr>
      </w:pPr>
      <w:r w:rsidRPr="00202A54">
        <w:rPr>
          <w:rFonts w:eastAsia="Arial Unicode MS" w:cs="Arial Unicode MS"/>
          <w:color w:val="000000" w:themeColor="text1"/>
          <w:sz w:val="22"/>
        </w:rPr>
        <w:t xml:space="preserve">Yeni nesil elek tesislerinden biri </w:t>
      </w:r>
      <w:r w:rsidRPr="00202A54">
        <w:rPr>
          <w:rFonts w:eastAsiaTheme="majorEastAsia" w:cstheme="majorBidi"/>
          <w:color w:val="000000" w:themeColor="text1"/>
          <w:sz w:val="22"/>
        </w:rPr>
        <w:t xml:space="preserve">olan ve MS 15 z yerine geliştirilen MOBISCREEN MSS 802(i) EVO ile, Kleemann bilinçli olarak kullanıcı bakış açısının üzerine odaklanmıştır. Eleme sürecinin arkasındaki teknolojinin, tüm kullanıcılar için kullanımı kolay ve emniyetli olması gerekir. Böylece yeni tesis, sadece süreç akışındaki teknolojik vurguları ile değil, aynı zamanda ergonomik tasarımı, optimize edilmiş işletimi ve kullanıcı dostu bakım konsepti ile de göz doldurmaktadır. </w:t>
      </w:r>
    </w:p>
    <w:p w14:paraId="6980BB40" w14:textId="0A9C6809" w:rsidR="00642BC1" w:rsidRPr="00202A54" w:rsidRDefault="00642BC1" w:rsidP="009C5D99">
      <w:pPr>
        <w:jc w:val="both"/>
        <w:rPr>
          <w:rFonts w:eastAsiaTheme="majorEastAsia" w:cstheme="majorBidi"/>
          <w:bCs/>
          <w:color w:val="000000" w:themeColor="text1"/>
          <w:sz w:val="22"/>
          <w:szCs w:val="22"/>
        </w:rPr>
      </w:pPr>
    </w:p>
    <w:p w14:paraId="6D19C4C2" w14:textId="1061967F" w:rsidR="00915993" w:rsidRPr="00202A54" w:rsidRDefault="00D65152" w:rsidP="009C5D99">
      <w:pPr>
        <w:jc w:val="both"/>
        <w:rPr>
          <w:rFonts w:eastAsiaTheme="majorEastAsia" w:cstheme="majorBidi"/>
          <w:b/>
          <w:color w:val="000000" w:themeColor="text1"/>
          <w:sz w:val="22"/>
          <w:szCs w:val="22"/>
        </w:rPr>
      </w:pPr>
      <w:r w:rsidRPr="00202A54">
        <w:rPr>
          <w:rFonts w:eastAsiaTheme="majorEastAsia" w:cstheme="majorBidi"/>
          <w:b/>
          <w:color w:val="000000" w:themeColor="text1"/>
          <w:sz w:val="22"/>
        </w:rPr>
        <w:t>Kullanımda gelişmiş hareketlilik ve esneklik</w:t>
      </w:r>
    </w:p>
    <w:p w14:paraId="3573E770" w14:textId="0BDFE392" w:rsidR="00C16524" w:rsidRPr="00202A54" w:rsidRDefault="00D65152" w:rsidP="00AC5B80">
      <w:pPr>
        <w:autoSpaceDE w:val="0"/>
        <w:autoSpaceDN w:val="0"/>
        <w:adjustRightInd w:val="0"/>
        <w:jc w:val="both"/>
        <w:rPr>
          <w:b/>
          <w:bCs/>
          <w:color w:val="000000" w:themeColor="text1"/>
          <w:sz w:val="22"/>
          <w:szCs w:val="22"/>
        </w:rPr>
      </w:pPr>
      <w:r w:rsidRPr="00202A54">
        <w:rPr>
          <w:rFonts w:eastAsiaTheme="majorEastAsia" w:cstheme="majorBidi"/>
          <w:color w:val="000000" w:themeColor="text1"/>
          <w:sz w:val="22"/>
        </w:rPr>
        <w:t xml:space="preserve">Orantılı kumandalı yürüyen aksamı ile tesis, düşük gövdeye sahip bir taşıyıcı ile kullanım yerine veya şantiye içinde hızlı bir şekilde hareket ettirilebilir. Yeni MOBISCREEN MSS 802(i) EVO'daki diğer iyileştirmelerin yanında, yan boşaltma konveyörlerinin sökülmeden katlanabilmesi, kurulumda önemli bir zaman tasarrufu sağlar. Üç yüksekliğe katlanabilen hazne arka duvarı, daha fazla çok yönlülük sunar ve düşük tahliye yüksekliği ile kırma tesislerinin beslenmesini sağlar. </w:t>
      </w:r>
      <w:r w:rsidRPr="00202A54">
        <w:rPr>
          <w:rFonts w:eastAsia="Arial Unicode MS" w:cs="Arial Unicode MS"/>
          <w:sz w:val="22"/>
        </w:rPr>
        <w:t xml:space="preserve">MSS 802 (i) EVO'nun çok çeşitli elek yüzeylerinin yanı sıra farklı besleme malzemelerine hızlı bir şekilde adapte edilmesini olanaklı kılan elek parametrelerinin basit ayarı, kurulum sürelerini ve dolayısıyla personel giderlerini ve maliyetlerini de düşürmektedir. Eleme performansının optimize edilmesi için, elek kutusu açısı 15,4 – 20 ° gibi geniş bir aralıkta ayarlanabilir.   </w:t>
      </w:r>
      <w:r w:rsidRPr="00202A54">
        <w:rPr>
          <w:rFonts w:eastAsia="Arial Unicode MS" w:cs="Arial Unicode MS"/>
          <w:b/>
          <w:sz w:val="22"/>
        </w:rPr>
        <w:t xml:space="preserve">Özel bir vurgu: 3-yollu ayırmadan 2-yollu ayırmaya hızlı ve kolay geçiş. </w:t>
      </w:r>
      <w:r w:rsidRPr="00202A54">
        <w:rPr>
          <w:rFonts w:eastAsia="Arial Unicode MS" w:cs="Arial Unicode MS"/>
          <w:color w:val="000000" w:themeColor="text1"/>
          <w:sz w:val="22"/>
        </w:rPr>
        <w:t>MSS 802(i) EVO ile, isteğe göre üç veya iki nihai tane boyutu üretilebilir ve boşaltılabilir; dönüşüm hızlı ve kolaydır.</w:t>
      </w:r>
    </w:p>
    <w:p w14:paraId="1760AA5A" w14:textId="3A82733A" w:rsidR="00B55310" w:rsidRPr="00202A54" w:rsidRDefault="00B55310" w:rsidP="00B74F34">
      <w:pPr>
        <w:autoSpaceDE w:val="0"/>
        <w:autoSpaceDN w:val="0"/>
        <w:adjustRightInd w:val="0"/>
        <w:jc w:val="both"/>
        <w:rPr>
          <w:b/>
          <w:bCs/>
          <w:color w:val="000000" w:themeColor="text1"/>
          <w:sz w:val="22"/>
          <w:szCs w:val="22"/>
        </w:rPr>
      </w:pPr>
    </w:p>
    <w:p w14:paraId="0A9EA18F" w14:textId="2B3B01F1" w:rsidR="00B55310" w:rsidRPr="00202A54" w:rsidRDefault="00961EE1" w:rsidP="00B55310">
      <w:pPr>
        <w:autoSpaceDE w:val="0"/>
        <w:autoSpaceDN w:val="0"/>
        <w:adjustRightInd w:val="0"/>
        <w:rPr>
          <w:b/>
          <w:bCs/>
          <w:sz w:val="22"/>
          <w:szCs w:val="22"/>
        </w:rPr>
      </w:pPr>
      <w:r w:rsidRPr="00202A54">
        <w:rPr>
          <w:rFonts w:eastAsia="Arial Unicode MS" w:cs="Arial Unicode MS"/>
          <w:b/>
          <w:sz w:val="22"/>
        </w:rPr>
        <w:t xml:space="preserve">Daha fazla konfor ve emniyet için kullanım kolaylığı ve ergonomi </w:t>
      </w:r>
    </w:p>
    <w:p w14:paraId="681DE644" w14:textId="5E86E5C6" w:rsidR="00961EE1" w:rsidRPr="00202A54" w:rsidRDefault="00961EE1" w:rsidP="001E50EC">
      <w:pPr>
        <w:autoSpaceDE w:val="0"/>
        <w:autoSpaceDN w:val="0"/>
        <w:adjustRightInd w:val="0"/>
        <w:jc w:val="both"/>
        <w:rPr>
          <w:color w:val="000000" w:themeColor="text1"/>
          <w:sz w:val="22"/>
          <w:szCs w:val="22"/>
        </w:rPr>
      </w:pPr>
      <w:r w:rsidRPr="00202A54">
        <w:rPr>
          <w:rFonts w:eastAsia="Arial Unicode MS" w:cs="Arial Unicode MS"/>
          <w:color w:val="000000" w:themeColor="text1"/>
          <w:sz w:val="22"/>
        </w:rPr>
        <w:t xml:space="preserve">Otomatik başlatmalı sezgisel sistem kontrolü, kullanım hatası riskini azaltır ve öğrenim süresinden tasarruf sağlar. İlgili tüm fonksiyonlar emniyetli bir mesafeden çalıştırılabilir ve yüksek iş emniyeti sunar. Kullanıcı dostu olmanın diğer yönleri, çok iyi erişim olanakları ve bakımla ilgili durma sürelerini en aza indiren akıllı temizleme çözümleridir. Tüm çözümlerinde Kleemann'ı kullanıcıların günlük faaliyetleri yönlendirmektedir. Bu aynı zamanda standart LED aydınlatma, çalışma alanlarını veya geniş çalışma platformlarını aydınlatmak için isteğe bağlı olarak temin edilebilen genişletilmiş premium aydınlatma için de geçerlidir. </w:t>
      </w:r>
    </w:p>
    <w:p w14:paraId="066B6D53" w14:textId="624DACD1" w:rsidR="001E50EC" w:rsidRPr="00202A54" w:rsidRDefault="001E50EC" w:rsidP="001E50EC">
      <w:pPr>
        <w:autoSpaceDE w:val="0"/>
        <w:autoSpaceDN w:val="0"/>
        <w:adjustRightInd w:val="0"/>
        <w:jc w:val="both"/>
        <w:rPr>
          <w:color w:val="000000" w:themeColor="text1"/>
          <w:sz w:val="22"/>
          <w:szCs w:val="22"/>
        </w:rPr>
      </w:pPr>
    </w:p>
    <w:p w14:paraId="58EBB972" w14:textId="66363D5A" w:rsidR="001E50EC" w:rsidRPr="00202A54" w:rsidRDefault="001E50EC" w:rsidP="001E50EC">
      <w:pPr>
        <w:autoSpaceDE w:val="0"/>
        <w:autoSpaceDN w:val="0"/>
        <w:adjustRightInd w:val="0"/>
        <w:jc w:val="both"/>
        <w:rPr>
          <w:color w:val="000000" w:themeColor="text1"/>
          <w:sz w:val="22"/>
          <w:szCs w:val="22"/>
        </w:rPr>
      </w:pPr>
    </w:p>
    <w:p w14:paraId="5FFEACCB" w14:textId="4837E361" w:rsidR="001E50EC" w:rsidRPr="00202A54" w:rsidRDefault="001E50EC" w:rsidP="001E50EC">
      <w:pPr>
        <w:autoSpaceDE w:val="0"/>
        <w:autoSpaceDN w:val="0"/>
        <w:adjustRightInd w:val="0"/>
        <w:jc w:val="both"/>
        <w:rPr>
          <w:color w:val="000000" w:themeColor="text1"/>
          <w:sz w:val="22"/>
          <w:szCs w:val="22"/>
        </w:rPr>
      </w:pPr>
    </w:p>
    <w:p w14:paraId="16906773" w14:textId="77777777" w:rsidR="00202A54" w:rsidRDefault="00202A54">
      <w:pPr>
        <w:rPr>
          <w:rFonts w:eastAsia="Arial Unicode MS" w:cs="Arial Unicode MS"/>
          <w:b/>
          <w:color w:val="000000" w:themeColor="text1"/>
          <w:sz w:val="22"/>
        </w:rPr>
      </w:pPr>
      <w:r>
        <w:rPr>
          <w:rFonts w:eastAsia="Arial Unicode MS" w:cs="Arial Unicode MS"/>
          <w:b/>
          <w:color w:val="000000" w:themeColor="text1"/>
          <w:sz w:val="22"/>
        </w:rPr>
        <w:br w:type="page"/>
      </w:r>
    </w:p>
    <w:p w14:paraId="7FA92D92" w14:textId="5A33F6D0" w:rsidR="00961EE1" w:rsidRPr="00202A54" w:rsidRDefault="001E50EC" w:rsidP="00693907">
      <w:pPr>
        <w:autoSpaceDE w:val="0"/>
        <w:autoSpaceDN w:val="0"/>
        <w:adjustRightInd w:val="0"/>
        <w:jc w:val="both"/>
        <w:rPr>
          <w:b/>
          <w:bCs/>
          <w:color w:val="000000" w:themeColor="text1"/>
          <w:sz w:val="22"/>
          <w:szCs w:val="22"/>
        </w:rPr>
      </w:pPr>
      <w:r w:rsidRPr="00202A54">
        <w:rPr>
          <w:rFonts w:eastAsia="Arial Unicode MS" w:cs="Arial Unicode MS"/>
          <w:b/>
          <w:color w:val="000000" w:themeColor="text1"/>
          <w:sz w:val="22"/>
        </w:rPr>
        <w:lastRenderedPageBreak/>
        <w:t>Optimum malzeme taşınması için güçlü ve hassas süreç akışı</w:t>
      </w:r>
    </w:p>
    <w:p w14:paraId="72833A2D" w14:textId="5A4E399D" w:rsidR="00A71CF2" w:rsidRPr="00202A54" w:rsidRDefault="004B0B2D" w:rsidP="00AC5B80">
      <w:pPr>
        <w:autoSpaceDE w:val="0"/>
        <w:autoSpaceDN w:val="0"/>
        <w:adjustRightInd w:val="0"/>
        <w:jc w:val="both"/>
        <w:rPr>
          <w:rFonts w:cs="AvenirNextLTPro-Regular"/>
          <w:color w:val="485358"/>
          <w:sz w:val="22"/>
          <w:szCs w:val="22"/>
          <w:lang w:eastAsia="de-DE"/>
        </w:rPr>
      </w:pPr>
      <w:r w:rsidRPr="00202A54">
        <w:rPr>
          <w:rFonts w:eastAsiaTheme="majorEastAsia" w:cstheme="majorBidi"/>
          <w:color w:val="000000" w:themeColor="text1"/>
          <w:sz w:val="22"/>
        </w:rPr>
        <w:t xml:space="preserve">Optimize edilmiş bir malzeme akışı, </w:t>
      </w:r>
      <w:r w:rsidRPr="00202A54">
        <w:rPr>
          <w:rFonts w:eastAsia="Arial Unicode MS" w:cs="Arial Unicode MS"/>
          <w:sz w:val="22"/>
        </w:rPr>
        <w:t xml:space="preserve">tüm elek tesislerinde en önemli husustur, ancak tüm bileşenler koordine edilirse, minimum işletme maliyetleri ile yüksek verimlilik elde edilebilir. Kleemann, yeni mobil kaba parçalar için elek ile en yeni nesil elek </w:t>
      </w:r>
      <w:r w:rsidRPr="00202A54">
        <w:rPr>
          <w:rFonts w:eastAsiaTheme="majorEastAsia" w:cstheme="majorBidi"/>
          <w:color w:val="000000" w:themeColor="text1"/>
          <w:sz w:val="22"/>
        </w:rPr>
        <w:t xml:space="preserve">tesislerinin neler yapabileceğini göstermektedir. </w:t>
      </w:r>
      <w:r w:rsidRPr="00202A54">
        <w:rPr>
          <w:rFonts w:eastAsia="Arial Unicode MS" w:cs="Arial Unicode MS"/>
          <w:color w:val="000000" w:themeColor="text1"/>
          <w:sz w:val="22"/>
        </w:rPr>
        <w:t xml:space="preserve">Bunların arasında, diğer tüm sevk bantları gibi hızı kademesiz olarak değiştirilebilen geniş bir ana tahliye konveyörünün yanı sıra elek yüzeylerinin optimum kullanımı için elek tablasına yüksek miktarda malzeme transferi de bulunmaktadır. Opsiyonel olarak temin edilebilen uzatılmış ana tahliye konveyörü ve teleskopik yan boşaltma bantları sayesinde büyük tahliye yükseklikleri ve dolayısıyla daha yüksek yığınlar, şantiyede optimum süreçleri olanaklı kılmaktadır. </w:t>
      </w:r>
    </w:p>
    <w:p w14:paraId="77C0CB54" w14:textId="77777777" w:rsidR="001D0CB5" w:rsidRPr="00202A54" w:rsidRDefault="001D0CB5" w:rsidP="005040C9">
      <w:pPr>
        <w:autoSpaceDE w:val="0"/>
        <w:autoSpaceDN w:val="0"/>
        <w:adjustRightInd w:val="0"/>
        <w:jc w:val="both"/>
        <w:rPr>
          <w:color w:val="404040"/>
          <w:sz w:val="22"/>
          <w:szCs w:val="22"/>
          <w:lang w:eastAsia="de-DE"/>
        </w:rPr>
      </w:pPr>
    </w:p>
    <w:p w14:paraId="1950A225" w14:textId="2BBE969A" w:rsidR="00A71CF2" w:rsidRPr="00202A54" w:rsidRDefault="001D0CB5" w:rsidP="00AC5B80">
      <w:pPr>
        <w:autoSpaceDE w:val="0"/>
        <w:autoSpaceDN w:val="0"/>
        <w:adjustRightInd w:val="0"/>
        <w:jc w:val="both"/>
        <w:rPr>
          <w:rFonts w:cs="AvenirNextLTPro-Regular"/>
          <w:color w:val="000000" w:themeColor="text1"/>
          <w:sz w:val="22"/>
          <w:szCs w:val="22"/>
          <w:lang w:eastAsia="de-DE"/>
        </w:rPr>
      </w:pPr>
      <w:r w:rsidRPr="00202A54">
        <w:rPr>
          <w:rFonts w:eastAsiaTheme="majorEastAsia" w:cstheme="majorBidi"/>
          <w:color w:val="000000" w:themeColor="text1"/>
          <w:sz w:val="22"/>
        </w:rPr>
        <w:t xml:space="preserve">Elbette yeni MOBISCREEN MSS 802(i) EVO hat bağlantısı yoluyla tüm EVO ve PRO kırma tesisleri ile birlikte süreç emniyetli olarak da çalıştırılabilir. Süreç bağlantısı için gerekli olan yığın sondası, tesisin herhangi </w:t>
      </w:r>
      <w:r w:rsidRPr="00202A54">
        <w:rPr>
          <w:rFonts w:eastAsia="Arial Unicode MS" w:cs="Arial Unicode MS"/>
          <w:color w:val="000000" w:themeColor="text1"/>
          <w:sz w:val="22"/>
        </w:rPr>
        <w:t>bir tahliye konveyörüne yerleştirilerek, kullanımda özel bir esneklik sağlayabilir.</w:t>
      </w:r>
    </w:p>
    <w:p w14:paraId="1648F9D8" w14:textId="08A58F91" w:rsidR="00202A54" w:rsidRDefault="00202A54" w:rsidP="000E24F8">
      <w:pPr>
        <w:pStyle w:val="Text"/>
        <w:rPr>
          <w:b/>
          <w:color w:val="000000" w:themeColor="text1"/>
        </w:rPr>
      </w:pPr>
    </w:p>
    <w:p w14:paraId="528154B6" w14:textId="77777777" w:rsidR="00202A54" w:rsidRPr="00202A54" w:rsidRDefault="00202A54" w:rsidP="000E24F8">
      <w:pPr>
        <w:pStyle w:val="Text"/>
        <w:rPr>
          <w:b/>
          <w:color w:val="000000" w:themeColor="text1"/>
        </w:rPr>
      </w:pPr>
    </w:p>
    <w:p w14:paraId="4DFA7DF7" w14:textId="2544232F" w:rsidR="008755E5" w:rsidRPr="00202A54" w:rsidRDefault="008755E5" w:rsidP="008755E5">
      <w:pPr>
        <w:pStyle w:val="HeadlineFotos"/>
      </w:pPr>
      <w:r w:rsidRPr="00202A54">
        <w:rPr>
          <w:rFonts w:eastAsia="Arial Unicode MS" w:cs="Arial Unicode MS"/>
          <w:caps w:val="0"/>
        </w:rPr>
        <w:t>Fotoğraflar</w:t>
      </w:r>
      <w:r w:rsidRPr="00202A54">
        <w:rPr>
          <w:rFonts w:eastAsia="Arial Unicode MS" w:cs="Arial Unicode MS"/>
        </w:rPr>
        <w:t>:</w:t>
      </w:r>
    </w:p>
    <w:tbl>
      <w:tblPr>
        <w:tblStyle w:val="Basic"/>
        <w:tblW w:w="9274" w:type="dxa"/>
        <w:tblCellSpacing w:w="71" w:type="dxa"/>
        <w:tblLook w:val="04A0" w:firstRow="1" w:lastRow="0" w:firstColumn="1" w:lastColumn="0" w:noHBand="0" w:noVBand="1"/>
      </w:tblPr>
      <w:tblGrid>
        <w:gridCol w:w="4692"/>
        <w:gridCol w:w="4582"/>
      </w:tblGrid>
      <w:tr w:rsidR="00A06278" w:rsidRPr="00202A54"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376D80A2" w:rsidR="008755E5" w:rsidRPr="00202A54" w:rsidRDefault="00042A38" w:rsidP="008E7B5E">
            <w:r w:rsidRPr="00202A54">
              <w:rPr>
                <w:noProof/>
              </w:rPr>
              <w:drawing>
                <wp:inline distT="0" distB="0" distL="0" distR="0" wp14:anchorId="7EEC911A" wp14:editId="5B5CBAD1">
                  <wp:extent cx="2543810" cy="1828800"/>
                  <wp:effectExtent l="0" t="0" r="889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543810" cy="1828800"/>
                          </a:xfrm>
                          <a:prstGeom prst="rect">
                            <a:avLst/>
                          </a:prstGeom>
                        </pic:spPr>
                      </pic:pic>
                    </a:graphicData>
                  </a:graphic>
                </wp:inline>
              </w:drawing>
            </w:r>
          </w:p>
        </w:tc>
        <w:tc>
          <w:tcPr>
            <w:tcW w:w="4369" w:type="dxa"/>
          </w:tcPr>
          <w:p w14:paraId="7F10D7AF" w14:textId="3AD32912" w:rsidR="00A06278" w:rsidRPr="00202A54" w:rsidRDefault="004A3FDF" w:rsidP="00A06278">
            <w:pPr>
              <w:pStyle w:val="Text"/>
              <w:jc w:val="left"/>
              <w:rPr>
                <w:b/>
                <w:bCs/>
                <w:color w:val="000000" w:themeColor="text1"/>
                <w:sz w:val="20"/>
                <w:szCs w:val="20"/>
              </w:rPr>
            </w:pPr>
            <w:r w:rsidRPr="00202A54">
              <w:rPr>
                <w:rFonts w:eastAsia="Arial Unicode MS" w:cs="Arial Unicode MS"/>
                <w:b/>
                <w:color w:val="000000" w:themeColor="text1"/>
                <w:sz w:val="20"/>
              </w:rPr>
              <w:t>KL_MOBISCREEN_MSS_802_EVO</w:t>
            </w:r>
            <w:r w:rsidRPr="00202A54">
              <w:rPr>
                <w:rFonts w:eastAsia="Arial Unicode MS" w:cs="Arial Unicode MS"/>
                <w:b/>
                <w:color w:val="000000" w:themeColor="text1"/>
                <w:sz w:val="20"/>
              </w:rPr>
              <w:br/>
            </w:r>
          </w:p>
          <w:p w14:paraId="6CC88CE3" w14:textId="1AE26F21" w:rsidR="005710C8" w:rsidRPr="00202A54" w:rsidRDefault="00A71CF2" w:rsidP="00A71CF2">
            <w:pPr>
              <w:pStyle w:val="Text"/>
              <w:jc w:val="left"/>
              <w:rPr>
                <w:sz w:val="20"/>
              </w:rPr>
            </w:pPr>
            <w:r w:rsidRPr="00202A54">
              <w:rPr>
                <w:rFonts w:eastAsia="Arial Unicode MS" w:cs="Arial Unicode MS"/>
                <w:color w:val="000000" w:themeColor="text1"/>
                <w:sz w:val="20"/>
              </w:rPr>
              <w:t>MSS 802(i) EVO, doğal taş / doğal kaya ve geri dönüşüm elemelerinde 500 ton/saat seviyesine varan besleme kapasitesiyle göz doldurmaktadır.</w:t>
            </w:r>
          </w:p>
        </w:tc>
      </w:tr>
    </w:tbl>
    <w:p w14:paraId="2B0AA557" w14:textId="4437EAA6" w:rsidR="008755E5" w:rsidRPr="00202A54" w:rsidRDefault="00651E5D" w:rsidP="008755E5">
      <w:pPr>
        <w:pStyle w:val="Text"/>
      </w:pPr>
      <w:r w:rsidRPr="00202A54">
        <w:rPr>
          <w:rFonts w:eastAsia="Arial Unicode MS" w:cs="Arial Unicode MS"/>
          <w:i/>
          <w:u w:val="single"/>
        </w:rPr>
        <w:t>Bilgi:</w:t>
      </w:r>
      <w:r w:rsidRPr="00202A54">
        <w:rPr>
          <w:rFonts w:eastAsia="Arial Unicode MS" w:cs="Arial Unicode MS"/>
        </w:rPr>
        <w:t xml:space="preserve"> </w:t>
      </w:r>
      <w:r w:rsidRPr="00202A54">
        <w:rPr>
          <w:rFonts w:eastAsia="Arial Unicode MS" w:cs="Arial Unicode MS"/>
          <w:i/>
        </w:rPr>
        <w:t>Bu fotoğraf yalnızca önizleme içindir. Yayınlarda çıktı almak için lütfen Wirtgen Group web sitesinde indirebileceğiniz 300 dpi çözünürlükteki fotoğrafı kullanınız.</w:t>
      </w:r>
    </w:p>
    <w:p w14:paraId="7F166A3B" w14:textId="77777777" w:rsidR="00A71CF2" w:rsidRPr="00202A54" w:rsidRDefault="00A71CF2" w:rsidP="00690D7C">
      <w:pPr>
        <w:rPr>
          <w:sz w:val="22"/>
        </w:rPr>
      </w:pPr>
    </w:p>
    <w:tbl>
      <w:tblPr>
        <w:tblStyle w:val="Basic"/>
        <w:tblW w:w="0" w:type="auto"/>
        <w:tblLook w:val="04A0" w:firstRow="1" w:lastRow="0" w:firstColumn="1" w:lastColumn="0" w:noHBand="0" w:noVBand="1"/>
      </w:tblPr>
      <w:tblGrid>
        <w:gridCol w:w="4777"/>
        <w:gridCol w:w="4747"/>
      </w:tblGrid>
      <w:tr w:rsidR="008755E5" w:rsidRPr="00202A54" w14:paraId="4CFE3AC8" w14:textId="77777777" w:rsidTr="00202A54">
        <w:trPr>
          <w:cnfStyle w:val="100000000000" w:firstRow="1" w:lastRow="0" w:firstColumn="0" w:lastColumn="0" w:oddVBand="0" w:evenVBand="0" w:oddHBand="0" w:evenHBand="0" w:firstRowFirstColumn="0" w:firstRowLastColumn="0" w:lastRowFirstColumn="0" w:lastRowLastColumn="0"/>
        </w:trPr>
        <w:tc>
          <w:tcPr>
            <w:tcW w:w="4777" w:type="dxa"/>
            <w:tcBorders>
              <w:right w:val="single" w:sz="48" w:space="0" w:color="FFFFFF" w:themeColor="background1"/>
            </w:tcBorders>
          </w:tcPr>
          <w:p w14:paraId="5F93F5A5" w14:textId="77777777" w:rsidR="00202A54" w:rsidRDefault="00202A54" w:rsidP="008E7B5E">
            <w:pPr>
              <w:pStyle w:val="HeadlineKontakte"/>
              <w:rPr>
                <w:rFonts w:eastAsia="Arial Unicode MS" w:cs="Arial Unicode MS"/>
                <w:caps w:val="0"/>
              </w:rPr>
            </w:pPr>
          </w:p>
          <w:p w14:paraId="577BA757" w14:textId="469BBC4F" w:rsidR="008755E5" w:rsidRPr="00202A54" w:rsidRDefault="008755E5" w:rsidP="008E7B5E">
            <w:pPr>
              <w:pStyle w:val="HeadlineKontakte"/>
            </w:pPr>
            <w:r w:rsidRPr="00202A54">
              <w:rPr>
                <w:rFonts w:eastAsia="Arial Unicode MS" w:cs="Arial Unicode MS"/>
                <w:caps w:val="0"/>
              </w:rPr>
              <w:t>Daha fazla bilgiyi</w:t>
            </w:r>
            <w:r w:rsidRPr="00202A54">
              <w:rPr>
                <w:rFonts w:eastAsia="Arial Unicode MS" w:cs="Arial Unicode MS"/>
              </w:rPr>
              <w:t xml:space="preserve"> </w:t>
            </w:r>
          </w:p>
          <w:p w14:paraId="3DCFA73F" w14:textId="77777777" w:rsidR="008755E5" w:rsidRPr="00202A54" w:rsidRDefault="008755E5" w:rsidP="008E7B5E">
            <w:pPr>
              <w:pStyle w:val="HeadlineKontakte"/>
            </w:pPr>
            <w:r w:rsidRPr="00202A54">
              <w:rPr>
                <w:rFonts w:eastAsia="Arial Unicode MS" w:cs="Arial Unicode MS"/>
                <w:caps w:val="0"/>
              </w:rPr>
              <w:t>şurada bulabilirsiniz</w:t>
            </w:r>
            <w:r w:rsidRPr="00202A54">
              <w:rPr>
                <w:rFonts w:eastAsia="Arial Unicode MS" w:cs="Arial Unicode MS"/>
              </w:rPr>
              <w:t>:</w:t>
            </w:r>
          </w:p>
          <w:p w14:paraId="624FF247" w14:textId="77777777" w:rsidR="008755E5" w:rsidRPr="00202A54" w:rsidRDefault="008755E5" w:rsidP="008E7B5E">
            <w:pPr>
              <w:pStyle w:val="Text"/>
            </w:pPr>
            <w:r w:rsidRPr="00202A54">
              <w:rPr>
                <w:rFonts w:eastAsia="Arial Unicode MS" w:cs="Arial Unicode MS"/>
              </w:rPr>
              <w:t>WIRTGEN GROUP</w:t>
            </w:r>
          </w:p>
          <w:p w14:paraId="300E7831" w14:textId="77777777" w:rsidR="008755E5" w:rsidRPr="00202A54" w:rsidRDefault="002D2EE5" w:rsidP="008E7B5E">
            <w:pPr>
              <w:pStyle w:val="Text"/>
            </w:pPr>
            <w:r w:rsidRPr="00202A54">
              <w:rPr>
                <w:rFonts w:eastAsia="Arial Unicode MS" w:cs="Arial Unicode MS"/>
              </w:rPr>
              <w:t>Halkla İlişkiler</w:t>
            </w:r>
          </w:p>
          <w:p w14:paraId="3625C6F1" w14:textId="77777777" w:rsidR="008755E5" w:rsidRPr="00202A54" w:rsidRDefault="008755E5" w:rsidP="008E7B5E">
            <w:pPr>
              <w:pStyle w:val="Text"/>
            </w:pPr>
            <w:r w:rsidRPr="00202A54">
              <w:rPr>
                <w:rFonts w:eastAsia="Arial Unicode MS" w:cs="Arial Unicode MS"/>
              </w:rPr>
              <w:t>Reinhard-Wirtgen-Straße 2</w:t>
            </w:r>
          </w:p>
          <w:p w14:paraId="624DEEE7" w14:textId="77777777" w:rsidR="008755E5" w:rsidRPr="00202A54" w:rsidRDefault="008755E5" w:rsidP="008E7B5E">
            <w:pPr>
              <w:pStyle w:val="Text"/>
            </w:pPr>
            <w:r w:rsidRPr="00202A54">
              <w:rPr>
                <w:rFonts w:eastAsia="Arial Unicode MS" w:cs="Arial Unicode MS"/>
              </w:rPr>
              <w:t>53578 Windhagen</w:t>
            </w:r>
          </w:p>
          <w:p w14:paraId="62D30E93" w14:textId="77777777" w:rsidR="008755E5" w:rsidRPr="00202A54" w:rsidRDefault="008755E5" w:rsidP="008E7B5E">
            <w:pPr>
              <w:pStyle w:val="Text"/>
            </w:pPr>
            <w:r w:rsidRPr="00202A54">
              <w:rPr>
                <w:rFonts w:eastAsia="Arial Unicode MS" w:cs="Arial Unicode MS"/>
              </w:rPr>
              <w:t>Almanya</w:t>
            </w:r>
          </w:p>
          <w:p w14:paraId="55E30481" w14:textId="77777777" w:rsidR="008755E5" w:rsidRPr="00202A54" w:rsidRDefault="008755E5" w:rsidP="008E7B5E">
            <w:pPr>
              <w:pStyle w:val="Text"/>
            </w:pPr>
          </w:p>
          <w:p w14:paraId="0130A04F" w14:textId="2CA7A324" w:rsidR="002603EC" w:rsidRPr="00202A54" w:rsidRDefault="008755E5" w:rsidP="008E7B5E">
            <w:pPr>
              <w:pStyle w:val="Text"/>
              <w:rPr>
                <w:color w:val="FF0000"/>
              </w:rPr>
            </w:pPr>
            <w:r w:rsidRPr="00202A54">
              <w:rPr>
                <w:rFonts w:eastAsia="Arial Unicode MS" w:cs="Arial Unicode MS"/>
              </w:rPr>
              <w:t xml:space="preserve">Telefon: +49 (0) 2645 131 </w:t>
            </w:r>
            <w:r w:rsidRPr="00202A54">
              <w:rPr>
                <w:rFonts w:eastAsia="Arial Unicode MS" w:cs="Arial Unicode MS"/>
                <w:color w:val="000000" w:themeColor="text1"/>
              </w:rPr>
              <w:t xml:space="preserve">– 1966 </w:t>
            </w:r>
          </w:p>
          <w:p w14:paraId="4182A933" w14:textId="77777777" w:rsidR="008755E5" w:rsidRPr="00202A54" w:rsidRDefault="008755E5" w:rsidP="008E7B5E">
            <w:pPr>
              <w:pStyle w:val="Text"/>
            </w:pPr>
            <w:r w:rsidRPr="00202A54">
              <w:rPr>
                <w:rFonts w:eastAsia="Arial Unicode MS" w:cs="Arial Unicode MS"/>
              </w:rPr>
              <w:t>Faks: +49 (0) 2645 131 – 499</w:t>
            </w:r>
          </w:p>
          <w:p w14:paraId="4CA1F3B4" w14:textId="77777777" w:rsidR="008755E5" w:rsidRPr="00202A54" w:rsidRDefault="008755E5" w:rsidP="008E7B5E">
            <w:pPr>
              <w:pStyle w:val="Text"/>
            </w:pPr>
            <w:r w:rsidRPr="00202A54">
              <w:rPr>
                <w:rFonts w:eastAsia="Arial Unicode MS" w:cs="Arial Unicode MS"/>
              </w:rPr>
              <w:t>E-posta: PR@wirtgen-group.com</w:t>
            </w:r>
          </w:p>
          <w:p w14:paraId="5B4D15E7" w14:textId="5BC533B1" w:rsidR="002D2EE5" w:rsidRPr="00202A54" w:rsidRDefault="002D2EE5" w:rsidP="008E7B5E">
            <w:pPr>
              <w:pStyle w:val="Text"/>
            </w:pPr>
            <w:r w:rsidRPr="00202A54">
              <w:rPr>
                <w:rFonts w:eastAsia="Arial Unicode MS" w:cs="Arial Unicode MS"/>
              </w:rPr>
              <w:t>www.wirtgen-group.com</w:t>
            </w:r>
          </w:p>
        </w:tc>
        <w:tc>
          <w:tcPr>
            <w:tcW w:w="4747" w:type="dxa"/>
            <w:tcBorders>
              <w:left w:val="single" w:sz="48" w:space="0" w:color="FFFFFF" w:themeColor="background1"/>
            </w:tcBorders>
          </w:tcPr>
          <w:p w14:paraId="374E2C17" w14:textId="77777777" w:rsidR="008755E5" w:rsidRPr="00202A54" w:rsidRDefault="008755E5" w:rsidP="008E7B5E">
            <w:pPr>
              <w:pStyle w:val="Text"/>
            </w:pPr>
          </w:p>
        </w:tc>
      </w:tr>
    </w:tbl>
    <w:p w14:paraId="5021EEFC" w14:textId="77777777" w:rsidR="00D166AC" w:rsidRPr="00202A54" w:rsidRDefault="00D166AC" w:rsidP="00407E4E">
      <w:pPr>
        <w:spacing w:line="280" w:lineRule="atLeast"/>
        <w:jc w:val="both"/>
      </w:pPr>
    </w:p>
    <w:sectPr w:rsidR="00D166AC" w:rsidRPr="00202A54"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86479" w14:textId="77777777" w:rsidR="00202A54" w:rsidRDefault="00202A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ascii="Arial Unicode MS" w:eastAsia="Arial Unicode MS" w:hAnsi="Arial Unicode MS" w:cs="Arial Unicode M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w:t>
          </w:r>
          <w:r w:rsidR="00D37CF4">
            <w:rPr>
              <w:noProof/>
              <w:szCs w:val="20"/>
            </w:rPr>
            <w:t>2</w:t>
          </w:r>
          <w:r w:rsidRPr="00723F4F">
            <w:rPr>
              <w:szCs w:val="20"/>
            </w:rPr>
            <w:fldChar w:fldCharType="end"/>
          </w:r>
        </w:p>
      </w:tc>
    </w:tr>
  </w:tbl>
  <w:p w14:paraId="7CF7D2C8"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CCFB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ascii="Arial Unicode MS" w:eastAsia="Arial Unicode MS" w:hAnsi="Arial Unicode MS" w:cs="Arial Unicode MS"/>
            </w:rPr>
            <w:t>WIRTGEN GmbH</w:t>
          </w:r>
          <w:r>
            <w:rPr>
              <w:rFonts w:ascii="Arial Unicode MS" w:eastAsia="Arial Unicode MS" w:hAnsi="Arial Unicode MS" w:cs="Arial Unicode MS"/>
            </w:rPr>
            <w:t xml:space="preserve"> · Reinhard-Wirtgen-Str. 2 · D-53578 Windhagen · T: +49 26 45 / 131 0</w:t>
          </w:r>
        </w:p>
      </w:tc>
    </w:tr>
  </w:tbl>
  <w:p w14:paraId="732BEB33"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2DB4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0D4F7" w14:textId="2F8D4BF6" w:rsidR="00202A54" w:rsidRDefault="00202A54">
    <w:pPr>
      <w:pStyle w:val="Kopfzeile"/>
    </w:pPr>
    <w:r>
      <w:rPr>
        <w:noProof/>
      </w:rPr>
      <mc:AlternateContent>
        <mc:Choice Requires="wps">
          <w:drawing>
            <wp:anchor distT="0" distB="0" distL="0" distR="0" simplePos="0" relativeHeight="251662336" behindDoc="0" locked="0" layoutInCell="1" allowOverlap="1" wp14:anchorId="5AA7FB60" wp14:editId="2EBEC40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0F10C7" w14:textId="5A036F3E"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AA7FB60"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210F10C7" w14:textId="5A036F3E"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20D11D04" w:rsidR="00533132" w:rsidRPr="00533132" w:rsidRDefault="00202A54" w:rsidP="00533132">
    <w:pPr>
      <w:pStyle w:val="Kopfzeile"/>
    </w:pPr>
    <w:r>
      <w:rPr>
        <w:rFonts w:ascii="Arial Unicode MS" w:eastAsia="Arial Unicode MS" w:hAnsi="Arial Unicode MS" w:cs="Arial Unicode MS"/>
        <w:noProof/>
      </w:rPr>
      <mc:AlternateContent>
        <mc:Choice Requires="wps">
          <w:drawing>
            <wp:anchor distT="0" distB="0" distL="0" distR="0" simplePos="0" relativeHeight="251663360" behindDoc="0" locked="0" layoutInCell="1" allowOverlap="1" wp14:anchorId="1152EDC2" wp14:editId="22420F96">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E2F9BA" w14:textId="59933F58"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152EDC2"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77E2F9BA" w14:textId="59933F58"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v:textbox>
              <w10:wrap type="square" anchorx="margin"/>
            </v:shape>
          </w:pict>
        </mc:Fallback>
      </mc:AlternateContent>
    </w:r>
    <w:r w:rsidR="00BD5391">
      <w:rPr>
        <w:rFonts w:ascii="Arial Unicode MS" w:eastAsia="Arial Unicode MS" w:hAnsi="Arial Unicode MS" w:cs="Arial Unicode MS"/>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24640101" w:rsidR="00533132" w:rsidRDefault="00202A54">
    <w:pPr>
      <w:pStyle w:val="Kopfzeile"/>
    </w:pPr>
    <w:r>
      <w:rPr>
        <w:rFonts w:ascii="Arial Unicode MS" w:eastAsia="Arial Unicode MS" w:hAnsi="Arial Unicode MS" w:cs="Arial Unicode MS"/>
        <w:noProof/>
      </w:rPr>
      <mc:AlternateContent>
        <mc:Choice Requires="wps">
          <w:drawing>
            <wp:anchor distT="0" distB="0" distL="0" distR="0" simplePos="0" relativeHeight="251661312" behindDoc="0" locked="0" layoutInCell="1" allowOverlap="1" wp14:anchorId="2B87460D" wp14:editId="6686724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61DEF6" w14:textId="40B35D22"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B87460D"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3761DEF6" w14:textId="40B35D22" w:rsidR="00202A54" w:rsidRPr="00202A54" w:rsidRDefault="00202A54">
                    <w:pPr>
                      <w:rPr>
                        <w:rFonts w:ascii="Calibri" w:eastAsia="Calibri" w:hAnsi="Calibri" w:cs="Calibri"/>
                        <w:color w:val="FF0000"/>
                        <w:sz w:val="20"/>
                        <w:szCs w:val="20"/>
                      </w:rPr>
                    </w:pPr>
                    <w:r w:rsidRPr="00202A54">
                      <w:rPr>
                        <w:rFonts w:ascii="Calibri" w:eastAsia="Calibri" w:hAnsi="Calibri" w:cs="Calibri"/>
                        <w:color w:val="FF0000"/>
                        <w:sz w:val="20"/>
                        <w:szCs w:val="20"/>
                      </w:rPr>
                      <w:t>Public</w:t>
                    </w:r>
                  </w:p>
                </w:txbxContent>
              </v:textbox>
              <w10:wrap type="square" anchorx="margin"/>
            </v:shape>
          </w:pict>
        </mc:Fallback>
      </mc:AlternateContent>
    </w:r>
    <w:r w:rsidR="00BD5391">
      <w:rPr>
        <w:rFonts w:ascii="Arial Unicode MS" w:eastAsia="Arial Unicode MS" w:hAnsi="Arial Unicode MS" w:cs="Arial Unicode MS"/>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0F57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rFonts w:ascii="Arial Unicode MS" w:eastAsia="Arial Unicode MS" w:hAnsi="Arial Unicode MS" w:cs="Arial Unicode MS"/>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rFonts w:ascii="Arial Unicode MS" w:eastAsia="Arial Unicode MS" w:hAnsi="Arial Unicode MS" w:cs="Arial Unicode MS"/>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42A38"/>
    <w:rsid w:val="0005285B"/>
    <w:rsid w:val="00055529"/>
    <w:rsid w:val="00066793"/>
    <w:rsid w:val="00066D09"/>
    <w:rsid w:val="0007706F"/>
    <w:rsid w:val="00080924"/>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02A54"/>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30098"/>
    <w:rsid w:val="00430BB0"/>
    <w:rsid w:val="00476100"/>
    <w:rsid w:val="00487BFC"/>
    <w:rsid w:val="004A3FDF"/>
    <w:rsid w:val="004B0B2D"/>
    <w:rsid w:val="004D23D0"/>
    <w:rsid w:val="004D2BE0"/>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55AE0"/>
    <w:rsid w:val="0075761B"/>
    <w:rsid w:val="00757B83"/>
    <w:rsid w:val="00791A69"/>
    <w:rsid w:val="00794830"/>
    <w:rsid w:val="00797CAA"/>
    <w:rsid w:val="007C2658"/>
    <w:rsid w:val="007D59A2"/>
    <w:rsid w:val="007E20D0"/>
    <w:rsid w:val="007E3DAB"/>
    <w:rsid w:val="008053B3"/>
    <w:rsid w:val="00820315"/>
    <w:rsid w:val="00832921"/>
    <w:rsid w:val="008427F2"/>
    <w:rsid w:val="00843B45"/>
    <w:rsid w:val="00863129"/>
    <w:rsid w:val="00866830"/>
    <w:rsid w:val="008755E5"/>
    <w:rsid w:val="00892F6F"/>
    <w:rsid w:val="00896F7E"/>
    <w:rsid w:val="008C2A29"/>
    <w:rsid w:val="008C2DB2"/>
    <w:rsid w:val="008D770E"/>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622</Words>
  <Characters>3924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10</cp:revision>
  <cp:lastPrinted>2021-03-03T14:19:00Z</cp:lastPrinted>
  <dcterms:created xsi:type="dcterms:W3CDTF">2021-11-09T10:19:00Z</dcterms:created>
  <dcterms:modified xsi:type="dcterms:W3CDTF">2022-01-04T13:59:00Z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2022-01-04T13:57:36Z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61cb4bcf-d277-4388-bfde-69cb258b6818</vt:lpwstr>
  </property>
  <property fmtid="{D5CDD505-2E9C-101B-9397-08002B2CF9AE}" pid="11" name="MSIP_Label_df1a195f-122b-42dc-a2d3-71a1903dcdac_ContentBits">
    <vt:lpwstr>1</vt:lpwstr>
  </property>
</Properties>
</file>