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3D466" w14:textId="5F593C52" w:rsidR="00A3534D" w:rsidRPr="00910522" w:rsidRDefault="000E24F8" w:rsidP="002F5818">
      <w:pPr>
        <w:pStyle w:val="1RoadNews"/>
        <w:rPr>
          <w:rFonts w:ascii="Verdana" w:hAnsi="Verdana"/>
          <w:b/>
          <w:color w:val="000000" w:themeColor="text1"/>
          <w:sz w:val="40"/>
          <w:szCs w:val="40"/>
        </w:rPr>
      </w:pPr>
      <w:r>
        <w:rPr>
          <w:rFonts w:ascii="Verdana" w:hAnsi="Verdana"/>
          <w:b/>
          <w:sz w:val="40"/>
        </w:rPr>
        <w:t xml:space="preserve">KLEEMANN </w:t>
      </w:r>
      <w:r>
        <w:rPr>
          <w:rFonts w:ascii="Verdana" w:hAnsi="Verdana"/>
          <w:spacing w:val="0"/>
          <w:sz w:val="40"/>
        </w:rPr>
        <w:t xml:space="preserve">| </w:t>
      </w:r>
      <w:r>
        <w:rPr>
          <w:rFonts w:ascii="Verdana" w:eastAsiaTheme="majorEastAsia" w:hAnsi="Verdana" w:cstheme="majorBidi"/>
          <w:b/>
          <w:color w:val="000000" w:themeColor="text1"/>
          <w:sz w:val="40"/>
        </w:rPr>
        <w:t>Plus de polyvalence pour broyeurs à cône et à percussion</w:t>
      </w:r>
    </w:p>
    <w:p w14:paraId="7C5C724F" w14:textId="77777777" w:rsidR="00936A78" w:rsidRPr="00910522" w:rsidRDefault="00936A78" w:rsidP="00BD5391">
      <w:pPr>
        <w:spacing w:line="276" w:lineRule="auto"/>
        <w:jc w:val="both"/>
        <w:rPr>
          <w:b/>
          <w:iCs/>
          <w:sz w:val="22"/>
        </w:rPr>
      </w:pPr>
    </w:p>
    <w:p w14:paraId="5C26AFAE" w14:textId="2209A21F" w:rsidR="00D4487C" w:rsidRDefault="00AD05F5" w:rsidP="00C75E48">
      <w:pPr>
        <w:spacing w:line="276" w:lineRule="auto"/>
        <w:rPr>
          <w:b/>
          <w:iCs/>
          <w:sz w:val="28"/>
          <w:szCs w:val="28"/>
        </w:rPr>
      </w:pPr>
      <w:r>
        <w:rPr>
          <w:b/>
          <w:sz w:val="28"/>
        </w:rPr>
        <w:t xml:space="preserve">Crible </w:t>
      </w:r>
      <w:r w:rsidR="004668F8" w:rsidRPr="004668F8">
        <w:rPr>
          <w:b/>
          <w:sz w:val="28"/>
        </w:rPr>
        <w:t>embarqué</w:t>
      </w:r>
      <w:r>
        <w:rPr>
          <w:b/>
          <w:sz w:val="28"/>
        </w:rPr>
        <w:t xml:space="preserve"> à deux étages pour le MOBICONE MCO 90(i) EVO2 et le MOBIREX MR 110(i) EVO2 </w:t>
      </w:r>
    </w:p>
    <w:p w14:paraId="5C807CA1" w14:textId="08AA2660" w:rsidR="00910522" w:rsidRDefault="00910522" w:rsidP="00BD5391">
      <w:pPr>
        <w:spacing w:line="276" w:lineRule="auto"/>
        <w:jc w:val="both"/>
        <w:rPr>
          <w:b/>
          <w:iCs/>
          <w:sz w:val="28"/>
          <w:szCs w:val="28"/>
        </w:rPr>
      </w:pPr>
    </w:p>
    <w:p w14:paraId="17D08D58" w14:textId="6BBB064C" w:rsidR="000E24F8" w:rsidRPr="00D21EDF" w:rsidRDefault="00D1030D" w:rsidP="00D4487C">
      <w:pPr>
        <w:jc w:val="both"/>
        <w:rPr>
          <w:b/>
          <w:color w:val="000000" w:themeColor="text1"/>
          <w:sz w:val="22"/>
        </w:rPr>
      </w:pPr>
      <w:r>
        <w:rPr>
          <w:b/>
          <w:color w:val="000000" w:themeColor="text1"/>
          <w:sz w:val="22"/>
        </w:rPr>
        <w:t xml:space="preserve">Le broyeur à cône mobile MOBICONE MCO 90(i) EVO2 et le broyeur à percussion mobile MOBIREX MR 110(i) EVO2 peuvent à présent être équipés en option d'un crible </w:t>
      </w:r>
      <w:r w:rsidR="004668F8" w:rsidRPr="004668F8">
        <w:rPr>
          <w:b/>
          <w:color w:val="000000" w:themeColor="text1"/>
          <w:sz w:val="22"/>
        </w:rPr>
        <w:t>embarqué</w:t>
      </w:r>
      <w:r>
        <w:rPr>
          <w:b/>
          <w:color w:val="000000" w:themeColor="text1"/>
          <w:sz w:val="22"/>
        </w:rPr>
        <w:t xml:space="preserve"> à deux étages. </w:t>
      </w:r>
    </w:p>
    <w:p w14:paraId="0B74CA0C" w14:textId="66235B67" w:rsidR="00C75E48" w:rsidRPr="00932B0F" w:rsidRDefault="00C75E48" w:rsidP="00D4487C">
      <w:pPr>
        <w:jc w:val="both"/>
        <w:rPr>
          <w:b/>
          <w:color w:val="000000" w:themeColor="text1"/>
          <w:sz w:val="22"/>
        </w:rPr>
      </w:pPr>
    </w:p>
    <w:p w14:paraId="6D0F4282" w14:textId="48A0D09A" w:rsidR="009344B2" w:rsidRDefault="00943DB9" w:rsidP="00D4487C">
      <w:pPr>
        <w:jc w:val="both"/>
        <w:rPr>
          <w:color w:val="000000" w:themeColor="text1"/>
          <w:sz w:val="22"/>
        </w:rPr>
      </w:pPr>
      <w:r>
        <w:rPr>
          <w:color w:val="000000" w:themeColor="text1"/>
          <w:sz w:val="22"/>
        </w:rPr>
        <w:t xml:space="preserve">Les broyeurs à cône sont employés principalement pour la roche dure ; les broyeurs à percussion pour la roche tendre à mi-dure ainsi que pour le recyclage. Une très bonne qualité de produit est escomptée des deux types d'installation. Grâce au nouveau crible </w:t>
      </w:r>
      <w:r w:rsidR="00F838DB" w:rsidRPr="00F838DB">
        <w:rPr>
          <w:color w:val="000000" w:themeColor="text1"/>
          <w:sz w:val="22"/>
        </w:rPr>
        <w:t>embarqué</w:t>
      </w:r>
      <w:r>
        <w:rPr>
          <w:color w:val="000000" w:themeColor="text1"/>
          <w:sz w:val="22"/>
        </w:rPr>
        <w:t xml:space="preserve"> en option, il est maintenant possible d'obtenir, avec une seule machine et sans employer d'installation de criblage supplémentaire, deux granulométries finales classifiées. </w:t>
      </w:r>
    </w:p>
    <w:p w14:paraId="68A6C53D" w14:textId="77777777" w:rsidR="009344B2" w:rsidRPr="00932B0F" w:rsidRDefault="009344B2" w:rsidP="00D4487C">
      <w:pPr>
        <w:jc w:val="both"/>
        <w:rPr>
          <w:color w:val="000000" w:themeColor="text1"/>
          <w:sz w:val="22"/>
        </w:rPr>
      </w:pPr>
    </w:p>
    <w:p w14:paraId="210A950C" w14:textId="066C5AEB" w:rsidR="005E6946" w:rsidRDefault="0065158F" w:rsidP="005E6946">
      <w:pPr>
        <w:autoSpaceDE w:val="0"/>
        <w:autoSpaceDN w:val="0"/>
        <w:adjustRightInd w:val="0"/>
        <w:jc w:val="both"/>
        <w:rPr>
          <w:b/>
          <w:bCs/>
          <w:sz w:val="22"/>
          <w:szCs w:val="22"/>
          <w:lang w:eastAsia="de-DE"/>
        </w:rPr>
      </w:pPr>
      <w:r>
        <w:rPr>
          <w:b/>
          <w:sz w:val="22"/>
        </w:rPr>
        <w:t xml:space="preserve">Le crible </w:t>
      </w:r>
      <w:r w:rsidR="004668F8" w:rsidRPr="004668F8">
        <w:rPr>
          <w:b/>
          <w:sz w:val="22"/>
        </w:rPr>
        <w:t>embarqué</w:t>
      </w:r>
      <w:r>
        <w:rPr>
          <w:b/>
          <w:sz w:val="22"/>
        </w:rPr>
        <w:t xml:space="preserve"> à deux étages assure une grande polyvalence et flexibilité </w:t>
      </w:r>
    </w:p>
    <w:p w14:paraId="0F9B5D13" w14:textId="70AF78D5" w:rsidR="00FA5148" w:rsidRDefault="00FA5148" w:rsidP="00FA5148">
      <w:pPr>
        <w:autoSpaceDE w:val="0"/>
        <w:autoSpaceDN w:val="0"/>
        <w:adjustRightInd w:val="0"/>
        <w:jc w:val="both"/>
        <w:rPr>
          <w:bCs/>
          <w:color w:val="000000" w:themeColor="text1"/>
          <w:sz w:val="22"/>
          <w:szCs w:val="22"/>
        </w:rPr>
      </w:pPr>
      <w:r>
        <w:rPr>
          <w:color w:val="000000" w:themeColor="text1"/>
          <w:sz w:val="22"/>
        </w:rPr>
        <w:t xml:space="preserve">La grande surface de criblage permet un criblage performant même pour des granulométries inférieures à 20 </w:t>
      </w:r>
      <w:proofErr w:type="spellStart"/>
      <w:r>
        <w:rPr>
          <w:color w:val="000000" w:themeColor="text1"/>
          <w:sz w:val="22"/>
        </w:rPr>
        <w:t>mm.</w:t>
      </w:r>
      <w:proofErr w:type="spellEnd"/>
      <w:r>
        <w:rPr>
          <w:color w:val="000000" w:themeColor="text1"/>
          <w:sz w:val="22"/>
        </w:rPr>
        <w:t xml:space="preserve"> La hauteur de déchargement du convoyeur des produits fins est conçue pour des terrils de grand volume. Via un convoyeur de retour des surclassés, ceux-ci peuvent être traités dans un circuit de matériaux fermé. En option, le convoyeur peut pivoter hydrauliquement jusqu'à 100 °, ce qui permet également une extraction latérale. Il est également possible de générer manuellement un terril en forme de rein. </w:t>
      </w:r>
    </w:p>
    <w:p w14:paraId="43596A8F" w14:textId="040E39ED" w:rsidR="00B0527D" w:rsidRDefault="00637A3B" w:rsidP="00FA5148">
      <w:pPr>
        <w:autoSpaceDE w:val="0"/>
        <w:autoSpaceDN w:val="0"/>
        <w:adjustRightInd w:val="0"/>
        <w:jc w:val="both"/>
        <w:rPr>
          <w:bCs/>
          <w:color w:val="000000" w:themeColor="text1"/>
          <w:sz w:val="22"/>
          <w:szCs w:val="22"/>
        </w:rPr>
      </w:pPr>
      <w:r>
        <w:rPr>
          <w:color w:val="000000" w:themeColor="text1"/>
          <w:sz w:val="22"/>
        </w:rPr>
        <w:t xml:space="preserve">Si une seule granulométrie finale doit être produite dans une application, le crible </w:t>
      </w:r>
      <w:r w:rsidR="004668F8" w:rsidRPr="004668F8">
        <w:rPr>
          <w:color w:val="000000" w:themeColor="text1"/>
          <w:sz w:val="22"/>
        </w:rPr>
        <w:t>embarqué</w:t>
      </w:r>
      <w:r>
        <w:rPr>
          <w:color w:val="000000" w:themeColor="text1"/>
          <w:sz w:val="22"/>
        </w:rPr>
        <w:t xml:space="preserve"> peut être utilisé comme variante à un étage.</w:t>
      </w:r>
    </w:p>
    <w:p w14:paraId="09EF416B" w14:textId="77777777" w:rsidR="00B0527D" w:rsidRDefault="00B0527D" w:rsidP="00FA5148">
      <w:pPr>
        <w:autoSpaceDE w:val="0"/>
        <w:autoSpaceDN w:val="0"/>
        <w:adjustRightInd w:val="0"/>
        <w:jc w:val="both"/>
        <w:rPr>
          <w:bCs/>
          <w:color w:val="000000" w:themeColor="text1"/>
          <w:sz w:val="22"/>
          <w:szCs w:val="22"/>
        </w:rPr>
      </w:pPr>
    </w:p>
    <w:p w14:paraId="1D0F678B" w14:textId="210C3667" w:rsidR="00FA5148" w:rsidRPr="0079358F" w:rsidRDefault="00FA5148" w:rsidP="00FA5148">
      <w:pPr>
        <w:autoSpaceDE w:val="0"/>
        <w:autoSpaceDN w:val="0"/>
        <w:adjustRightInd w:val="0"/>
        <w:jc w:val="both"/>
        <w:rPr>
          <w:b/>
          <w:color w:val="000000" w:themeColor="text1"/>
          <w:sz w:val="22"/>
          <w:szCs w:val="22"/>
        </w:rPr>
      </w:pPr>
      <w:r>
        <w:rPr>
          <w:b/>
          <w:color w:val="000000" w:themeColor="text1"/>
          <w:sz w:val="22"/>
        </w:rPr>
        <w:t>Séparateur à air pour nettoyage efficace</w:t>
      </w:r>
    </w:p>
    <w:p w14:paraId="6B3FF4C3" w14:textId="7AC9113B" w:rsidR="00D378E8" w:rsidRPr="00D378E8" w:rsidRDefault="00FA5148" w:rsidP="004668F8">
      <w:pPr>
        <w:autoSpaceDE w:val="0"/>
        <w:autoSpaceDN w:val="0"/>
        <w:adjustRightInd w:val="0"/>
        <w:rPr>
          <w:bCs/>
          <w:color w:val="000000" w:themeColor="text1"/>
          <w:sz w:val="22"/>
          <w:szCs w:val="22"/>
        </w:rPr>
      </w:pPr>
      <w:r>
        <w:rPr>
          <w:color w:val="000000" w:themeColor="text1"/>
          <w:sz w:val="22"/>
        </w:rPr>
        <w:t xml:space="preserve">Vu que le MOBIREX MR 110(i) EVO2 est souvent employé dans le recyclage, des séparateurs à air sont utilisés ici en option. Ceux-ci assurent une meilleure qualité de matériau, car celui-ci est débarrassé des impuretés dus à des substances légères (par ex. bois et plastique). Le débit d'air peut être asservi avec précision en fonction de chaque matériau. Ceci permet de réduire les travaux manuels de tri. Le séparateur à air ne peut être utilisé qu'en combinaison avec le crible </w:t>
      </w:r>
      <w:r w:rsidR="004668F8" w:rsidRPr="004668F8">
        <w:rPr>
          <w:color w:val="000000" w:themeColor="text1"/>
          <w:sz w:val="22"/>
        </w:rPr>
        <w:t>embarqué</w:t>
      </w:r>
      <w:r>
        <w:rPr>
          <w:color w:val="000000" w:themeColor="text1"/>
          <w:sz w:val="22"/>
        </w:rPr>
        <w:t xml:space="preserve">. Dans le cas du crible </w:t>
      </w:r>
      <w:r w:rsidR="004668F8" w:rsidRPr="004668F8">
        <w:rPr>
          <w:color w:val="000000" w:themeColor="text1"/>
          <w:sz w:val="22"/>
        </w:rPr>
        <w:t>embarqué</w:t>
      </w:r>
      <w:r>
        <w:rPr>
          <w:color w:val="000000" w:themeColor="text1"/>
          <w:sz w:val="22"/>
        </w:rPr>
        <w:t xml:space="preserve"> à deux étages, un deuxième séparateur à air peut être utilisé en option pour nettoyer les produits intermédiaires.</w:t>
      </w:r>
    </w:p>
    <w:p w14:paraId="0FFB1F34" w14:textId="3BAB9CCC" w:rsidR="00637A3B" w:rsidRDefault="00637A3B" w:rsidP="00637A3B">
      <w:pPr>
        <w:pStyle w:val="Text"/>
      </w:pPr>
    </w:p>
    <w:p w14:paraId="41AB0AE9" w14:textId="59CE6D73" w:rsidR="00637A3B" w:rsidRDefault="00637A3B" w:rsidP="00637A3B">
      <w:pPr>
        <w:pStyle w:val="Text"/>
      </w:pPr>
    </w:p>
    <w:p w14:paraId="5F49C8B1" w14:textId="77777777" w:rsidR="00637A3B" w:rsidRDefault="00637A3B" w:rsidP="00637A3B">
      <w:pPr>
        <w:pStyle w:val="Text"/>
      </w:pPr>
    </w:p>
    <w:p w14:paraId="0E88ADBF" w14:textId="2C7E3B39" w:rsidR="00637A3B" w:rsidRDefault="00637A3B" w:rsidP="00637A3B">
      <w:pPr>
        <w:pStyle w:val="Text"/>
      </w:pPr>
    </w:p>
    <w:p w14:paraId="01B2D473" w14:textId="448CF1FB" w:rsidR="00637A3B" w:rsidRDefault="00637A3B" w:rsidP="00637A3B">
      <w:pPr>
        <w:pStyle w:val="Text"/>
      </w:pPr>
    </w:p>
    <w:p w14:paraId="6E2BF87C" w14:textId="27E896C6" w:rsidR="00637A3B" w:rsidRDefault="00637A3B" w:rsidP="00637A3B">
      <w:pPr>
        <w:pStyle w:val="Text"/>
      </w:pPr>
    </w:p>
    <w:p w14:paraId="20ECE8CC" w14:textId="41565A7C" w:rsidR="00637A3B" w:rsidRDefault="00637A3B" w:rsidP="00637A3B">
      <w:pPr>
        <w:pStyle w:val="Text"/>
      </w:pPr>
    </w:p>
    <w:p w14:paraId="28DA107A" w14:textId="5639576B" w:rsidR="008F3A27" w:rsidRDefault="008F3A27">
      <w:pPr>
        <w:rPr>
          <w:sz w:val="22"/>
        </w:rPr>
      </w:pPr>
      <w:r>
        <w:br w:type="page"/>
      </w:r>
    </w:p>
    <w:p w14:paraId="4DFA7DF7" w14:textId="30BB16D9" w:rsidR="008755E5" w:rsidRPr="00CD39F4" w:rsidRDefault="008755E5" w:rsidP="008755E5">
      <w:pPr>
        <w:pStyle w:val="HeadlineFotos"/>
      </w:pPr>
      <w:r>
        <w:rPr>
          <w:rFonts w:eastAsia="Calibri" w:cs="Arial"/>
          <w:caps w:val="0"/>
        </w:rPr>
        <w:lastRenderedPageBreak/>
        <w:t>Photo </w:t>
      </w:r>
      <w:r>
        <w:t>:</w:t>
      </w:r>
    </w:p>
    <w:p w14:paraId="40FDC3E8" w14:textId="77777777" w:rsidR="00C80062" w:rsidRDefault="00C80062" w:rsidP="00751718">
      <w:pPr>
        <w:pStyle w:val="Text"/>
        <w:jc w:val="left"/>
        <w:rPr>
          <w:b/>
          <w:sz w:val="20"/>
        </w:rPr>
      </w:pPr>
      <w:r>
        <w:rPr>
          <w:noProof/>
        </w:rPr>
        <w:drawing>
          <wp:inline distT="0" distB="0" distL="0" distR="0" wp14:anchorId="7B51C524" wp14:editId="0B04F396">
            <wp:extent cx="3714750" cy="2625725"/>
            <wp:effectExtent l="0" t="0" r="0" b="3175"/>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3714750" cy="2625725"/>
                    </a:xfrm>
                    <a:prstGeom prst="rect">
                      <a:avLst/>
                    </a:prstGeom>
                  </pic:spPr>
                </pic:pic>
              </a:graphicData>
            </a:graphic>
          </wp:inline>
        </w:drawing>
      </w:r>
    </w:p>
    <w:p w14:paraId="65AC8B9C" w14:textId="6239083C" w:rsidR="00751718" w:rsidRPr="00751718" w:rsidRDefault="00751718" w:rsidP="00751718">
      <w:pPr>
        <w:pStyle w:val="Text"/>
        <w:jc w:val="left"/>
        <w:rPr>
          <w:b/>
          <w:bCs/>
          <w:sz w:val="20"/>
          <w:szCs w:val="20"/>
        </w:rPr>
      </w:pPr>
      <w:proofErr w:type="spellStart"/>
      <w:r>
        <w:rPr>
          <w:b/>
          <w:sz w:val="20"/>
        </w:rPr>
        <w:t>KL_</w:t>
      </w:r>
      <w:r>
        <w:rPr>
          <w:rFonts w:eastAsiaTheme="majorEastAsia" w:cstheme="majorBidi"/>
          <w:b/>
          <w:sz w:val="20"/>
        </w:rPr>
        <w:t>Double</w:t>
      </w:r>
      <w:proofErr w:type="spellEnd"/>
      <w:r>
        <w:rPr>
          <w:rFonts w:eastAsiaTheme="majorEastAsia" w:cstheme="majorBidi"/>
          <w:b/>
          <w:sz w:val="20"/>
        </w:rPr>
        <w:t>-deck post screening unit</w:t>
      </w:r>
    </w:p>
    <w:p w14:paraId="371177D1" w14:textId="07DE963A" w:rsidR="00751718" w:rsidRPr="0096514A" w:rsidRDefault="00751718" w:rsidP="00751718">
      <w:pPr>
        <w:pStyle w:val="Text"/>
        <w:jc w:val="left"/>
        <w:rPr>
          <w:sz w:val="20"/>
          <w:szCs w:val="20"/>
        </w:rPr>
      </w:pPr>
      <w:r>
        <w:rPr>
          <w:sz w:val="20"/>
        </w:rPr>
        <w:t xml:space="preserve">Le MOBICONE MCO 90(i) EVO2 et le MOBIREX MR 110(i) EVO2 peuvent à présent être équipés en option d'un crible </w:t>
      </w:r>
      <w:r w:rsidR="004668F8" w:rsidRPr="004668F8">
        <w:rPr>
          <w:sz w:val="20"/>
        </w:rPr>
        <w:t>embarqué</w:t>
      </w:r>
      <w:r>
        <w:rPr>
          <w:sz w:val="20"/>
        </w:rPr>
        <w:t xml:space="preserve"> à deux étages.</w:t>
      </w:r>
    </w:p>
    <w:p w14:paraId="173C3046" w14:textId="7B14A5D9" w:rsidR="00751718" w:rsidRDefault="00751718" w:rsidP="008755E5">
      <w:pPr>
        <w:pStyle w:val="Text"/>
      </w:pPr>
    </w:p>
    <w:p w14:paraId="622B6D6A" w14:textId="77777777" w:rsidR="00751718" w:rsidRPr="0096514A" w:rsidRDefault="00751718" w:rsidP="008755E5">
      <w:pPr>
        <w:pStyle w:val="Text"/>
      </w:pPr>
    </w:p>
    <w:p w14:paraId="2B0AA557" w14:textId="05E30EF2" w:rsidR="008755E5" w:rsidRPr="00E04039" w:rsidRDefault="00651E5D" w:rsidP="008755E5">
      <w:pPr>
        <w:pStyle w:val="Text"/>
      </w:pPr>
      <w:r>
        <w:rPr>
          <w:i/>
          <w:u w:val="single"/>
        </w:rPr>
        <w:t>Remarque :</w:t>
      </w:r>
      <w:r>
        <w:rPr>
          <w:i/>
        </w:rPr>
        <w:t xml:space="preserve"> </w:t>
      </w:r>
      <w:r>
        <w:rPr>
          <w:i/>
          <w:color w:val="000000" w:themeColor="text1"/>
        </w:rPr>
        <w:t xml:space="preserve">Cette photo n'est qu'un aperçu. Pour une intégration dans des publications, veuillez utiliser </w:t>
      </w:r>
      <w:r>
        <w:rPr>
          <w:i/>
        </w:rPr>
        <w:t xml:space="preserve">la photo en résolution 300 dpi qui est à votre disposition en téléchargement sur les sites internet du </w:t>
      </w:r>
      <w:proofErr w:type="spellStart"/>
      <w:r>
        <w:rPr>
          <w:i/>
        </w:rPr>
        <w:t>Wirtgen</w:t>
      </w:r>
      <w:proofErr w:type="spellEnd"/>
      <w:r>
        <w:rPr>
          <w:i/>
        </w:rPr>
        <w:t xml:space="preserve"> Group.</w:t>
      </w:r>
    </w:p>
    <w:p w14:paraId="0F088C05" w14:textId="5E802765" w:rsidR="008755E5" w:rsidRPr="00690D7C" w:rsidRDefault="008755E5" w:rsidP="00690D7C">
      <w:pPr>
        <w:rPr>
          <w:sz w:val="22"/>
        </w:rPr>
      </w:pPr>
    </w:p>
    <w:p w14:paraId="0B08463F" w14:textId="77777777" w:rsidR="008755E5" w:rsidRPr="00E04039" w:rsidRDefault="008755E5" w:rsidP="008755E5">
      <w:pPr>
        <w:pStyle w:val="Text"/>
      </w:pPr>
    </w:p>
    <w:tbl>
      <w:tblPr>
        <w:tblStyle w:val="Basic"/>
        <w:tblW w:w="0" w:type="auto"/>
        <w:tblLook w:val="04A0" w:firstRow="1" w:lastRow="0" w:firstColumn="1" w:lastColumn="0" w:noHBand="0" w:noVBand="1"/>
      </w:tblPr>
      <w:tblGrid>
        <w:gridCol w:w="4779"/>
        <w:gridCol w:w="4745"/>
      </w:tblGrid>
      <w:tr w:rsidR="008755E5" w:rsidRPr="00E04039" w14:paraId="4CFE3AC8" w14:textId="77777777" w:rsidTr="000D59EC">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E04039" w:rsidRDefault="008755E5" w:rsidP="000D59EC">
            <w:pPr>
              <w:pStyle w:val="HeadlineKontakte"/>
            </w:pPr>
            <w:r>
              <w:rPr>
                <w:rFonts w:eastAsia="Calibri" w:cs="Arial"/>
                <w:caps w:val="0"/>
              </w:rPr>
              <w:t>Pour plus d’informations,</w:t>
            </w:r>
            <w:r>
              <w:t xml:space="preserve"> </w:t>
            </w:r>
          </w:p>
          <w:p w14:paraId="3DCFA73F" w14:textId="77777777" w:rsidR="008755E5" w:rsidRPr="00E04039" w:rsidRDefault="008755E5" w:rsidP="000D59EC">
            <w:pPr>
              <w:pStyle w:val="HeadlineKontakte"/>
            </w:pPr>
            <w:proofErr w:type="gramStart"/>
            <w:r>
              <w:rPr>
                <w:rFonts w:eastAsia="Calibri" w:cs="Arial"/>
                <w:caps w:val="0"/>
              </w:rPr>
              <w:t>adressez</w:t>
            </w:r>
            <w:proofErr w:type="gramEnd"/>
            <w:r>
              <w:rPr>
                <w:rFonts w:eastAsia="Calibri" w:cs="Arial"/>
                <w:caps w:val="0"/>
              </w:rPr>
              <w:t>-vous à </w:t>
            </w:r>
            <w:r>
              <w:t>:</w:t>
            </w:r>
          </w:p>
          <w:p w14:paraId="624FF247" w14:textId="77777777" w:rsidR="008755E5" w:rsidRPr="00E04039" w:rsidRDefault="008755E5" w:rsidP="000D59EC">
            <w:pPr>
              <w:pStyle w:val="Text"/>
            </w:pPr>
            <w:r>
              <w:t>WIRTGEN GROUP</w:t>
            </w:r>
          </w:p>
          <w:p w14:paraId="300E7831" w14:textId="77777777" w:rsidR="008755E5" w:rsidRPr="00E04039" w:rsidRDefault="002D2EE5" w:rsidP="000D59EC">
            <w:pPr>
              <w:pStyle w:val="Text"/>
            </w:pPr>
            <w:r>
              <w:t>Public Relations</w:t>
            </w:r>
          </w:p>
          <w:p w14:paraId="3625C6F1" w14:textId="77777777" w:rsidR="008755E5" w:rsidRPr="00E04039" w:rsidRDefault="008755E5" w:rsidP="000D59EC">
            <w:pPr>
              <w:pStyle w:val="Text"/>
            </w:pPr>
            <w:r>
              <w:t>Reinhard-</w:t>
            </w:r>
            <w:proofErr w:type="spellStart"/>
            <w:r>
              <w:t>Wirtgen</w:t>
            </w:r>
            <w:proofErr w:type="spellEnd"/>
            <w:r>
              <w:t>-</w:t>
            </w:r>
            <w:proofErr w:type="spellStart"/>
            <w:r>
              <w:t>Straße</w:t>
            </w:r>
            <w:proofErr w:type="spellEnd"/>
            <w:r>
              <w:t xml:space="preserve"> 2</w:t>
            </w:r>
          </w:p>
          <w:p w14:paraId="624DEEE7" w14:textId="77777777" w:rsidR="008755E5" w:rsidRPr="00E04039" w:rsidRDefault="008755E5" w:rsidP="000D59EC">
            <w:pPr>
              <w:pStyle w:val="Text"/>
            </w:pPr>
            <w:r>
              <w:t xml:space="preserve">53578 </w:t>
            </w:r>
            <w:proofErr w:type="spellStart"/>
            <w:r>
              <w:t>Windhagen</w:t>
            </w:r>
            <w:proofErr w:type="spellEnd"/>
          </w:p>
          <w:p w14:paraId="62D30E93" w14:textId="77777777" w:rsidR="008755E5" w:rsidRPr="00E04039" w:rsidRDefault="008755E5" w:rsidP="000D59EC">
            <w:pPr>
              <w:pStyle w:val="Text"/>
            </w:pPr>
            <w:r>
              <w:t>Allemagne</w:t>
            </w:r>
          </w:p>
          <w:p w14:paraId="55E30481" w14:textId="77777777" w:rsidR="008755E5" w:rsidRPr="00E04039" w:rsidRDefault="008755E5" w:rsidP="000D59EC">
            <w:pPr>
              <w:pStyle w:val="Text"/>
            </w:pPr>
          </w:p>
          <w:p w14:paraId="0130A04F" w14:textId="2CA7A324" w:rsidR="002603EC" w:rsidRPr="00751718" w:rsidRDefault="008755E5" w:rsidP="000D59EC">
            <w:pPr>
              <w:pStyle w:val="Text"/>
            </w:pPr>
            <w:r>
              <w:t xml:space="preserve">Téléphone : +49 (0) 2645 131 </w:t>
            </w:r>
            <w:r>
              <w:rPr>
                <w:color w:val="000000" w:themeColor="text1"/>
              </w:rPr>
              <w:t xml:space="preserve">– 1966 </w:t>
            </w:r>
          </w:p>
          <w:p w14:paraId="4182A933" w14:textId="77777777" w:rsidR="008755E5" w:rsidRPr="00E04039" w:rsidRDefault="008755E5" w:rsidP="000D59EC">
            <w:pPr>
              <w:pStyle w:val="Text"/>
            </w:pPr>
            <w:r>
              <w:t>Fax : +49 (0) 2645 131 – 499</w:t>
            </w:r>
          </w:p>
          <w:p w14:paraId="4CA1F3B4" w14:textId="77777777" w:rsidR="008755E5" w:rsidRPr="00E04039" w:rsidRDefault="008755E5" w:rsidP="000D59EC">
            <w:pPr>
              <w:pStyle w:val="Text"/>
            </w:pPr>
            <w:proofErr w:type="gramStart"/>
            <w:r>
              <w:t>E-mail</w:t>
            </w:r>
            <w:proofErr w:type="gramEnd"/>
            <w:r>
              <w:t> : PR@wirtgen-group.com</w:t>
            </w:r>
          </w:p>
          <w:p w14:paraId="7C0F0E17" w14:textId="77777777" w:rsidR="008755E5" w:rsidRPr="00E04039" w:rsidRDefault="002D2EE5" w:rsidP="000D59EC">
            <w:pPr>
              <w:pStyle w:val="Text"/>
            </w:pPr>
            <w:r>
              <w:t>www.wirtgen-group.com</w:t>
            </w:r>
          </w:p>
          <w:p w14:paraId="689C700E" w14:textId="77777777" w:rsidR="002D2EE5" w:rsidRPr="00E04039" w:rsidRDefault="002D2EE5" w:rsidP="000D59EC">
            <w:pPr>
              <w:pStyle w:val="Text"/>
            </w:pPr>
          </w:p>
          <w:p w14:paraId="5B4D15E7" w14:textId="77777777" w:rsidR="002D2EE5" w:rsidRPr="00E04039" w:rsidRDefault="002D2EE5" w:rsidP="000D59EC">
            <w:pPr>
              <w:pStyle w:val="Text"/>
            </w:pPr>
          </w:p>
        </w:tc>
        <w:tc>
          <w:tcPr>
            <w:tcW w:w="4832" w:type="dxa"/>
            <w:tcBorders>
              <w:left w:val="single" w:sz="48" w:space="0" w:color="FFFFFF" w:themeColor="background1"/>
            </w:tcBorders>
          </w:tcPr>
          <w:p w14:paraId="374E2C17" w14:textId="77777777" w:rsidR="008755E5" w:rsidRPr="00E04039" w:rsidRDefault="008755E5" w:rsidP="000D59EC">
            <w:pPr>
              <w:pStyle w:val="Text"/>
            </w:pPr>
          </w:p>
        </w:tc>
      </w:tr>
    </w:tbl>
    <w:p w14:paraId="5021EEFC" w14:textId="1540F706" w:rsidR="00D166AC" w:rsidRPr="00E04039" w:rsidRDefault="00D166AC" w:rsidP="00A43D02">
      <w:pPr>
        <w:spacing w:line="280" w:lineRule="atLeast"/>
        <w:jc w:val="both"/>
      </w:pPr>
    </w:p>
    <w:sectPr w:rsidR="00D166AC" w:rsidRPr="00E04039"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91CFE" w14:textId="77777777" w:rsidR="00B811A0" w:rsidRDefault="00B811A0" w:rsidP="00E55534">
      <w:r>
        <w:separator/>
      </w:r>
    </w:p>
  </w:endnote>
  <w:endnote w:type="continuationSeparator" w:id="0">
    <w:p w14:paraId="34A8B62D" w14:textId="77777777" w:rsidR="00B811A0" w:rsidRDefault="00B811A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5AE00" w14:textId="77777777" w:rsidR="00A07E0C" w:rsidRDefault="00A07E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B4672B"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t>
          </w:r>
          <w:proofErr w:type="spellStart"/>
          <w:r>
            <w:t>Wirtgen</w:t>
          </w:r>
          <w:proofErr w:type="spellEnd"/>
          <w:r>
            <w:t>-</w:t>
          </w:r>
          <w:proofErr w:type="spellStart"/>
          <w:r>
            <w:t>Str</w:t>
          </w:r>
          <w:proofErr w:type="spellEnd"/>
          <w:r>
            <w:t xml:space="preserve">. 2 · D-53578 </w:t>
          </w:r>
          <w:proofErr w:type="spellStart"/>
          <w:r>
            <w:t>Windhagen</w:t>
          </w:r>
          <w:proofErr w:type="spellEnd"/>
          <w:r>
            <w:t xml:space="preserve"> · T :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1F0204"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93711" w14:textId="77777777" w:rsidR="00B811A0" w:rsidRDefault="00B811A0" w:rsidP="00E55534">
      <w:r>
        <w:separator/>
      </w:r>
    </w:p>
  </w:footnote>
  <w:footnote w:type="continuationSeparator" w:id="0">
    <w:p w14:paraId="30C6BEE3" w14:textId="77777777" w:rsidR="00B811A0" w:rsidRDefault="00B811A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7127" w14:textId="0A397FBC" w:rsidR="00A07E0C" w:rsidRDefault="00AF49D6">
    <w:pPr>
      <w:pStyle w:val="Kopfzeile"/>
    </w:pPr>
    <w:r>
      <w:rPr>
        <w:noProof/>
      </w:rPr>
      <mc:AlternateContent>
        <mc:Choice Requires="wps">
          <w:drawing>
            <wp:anchor distT="0" distB="0" distL="0" distR="0" simplePos="0" relativeHeight="251662336" behindDoc="0" locked="0" layoutInCell="1" allowOverlap="1" wp14:anchorId="5AE611FB" wp14:editId="6D022AE0">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08E023" w14:textId="7D8B92A0" w:rsidR="00AF49D6" w:rsidRPr="00AF49D6" w:rsidRDefault="00AF49D6">
                          <w:pPr>
                            <w:rPr>
                              <w:rFonts w:ascii="Calibri" w:eastAsia="Calibri" w:hAnsi="Calibri" w:cs="Calibri"/>
                              <w:color w:val="FF0000"/>
                              <w:sz w:val="20"/>
                              <w:szCs w:val="20"/>
                            </w:rPr>
                          </w:pPr>
                          <w:r w:rsidRPr="00AF49D6">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AE611FB" id="_x0000_t202" coordsize="21600,21600" o:spt="202" path="m,l,21600r21600,l21600,xe">
              <v:stroke joinstyle="miter"/>
              <v:path gradientshapeok="t" o:connecttype="rect"/>
            </v:shapetype>
            <v:shape id="Textfeld 10"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o/S7AnAgAASwQAAA4AAAAAAAAAAAAAAAAALgIAAGRycy9lMm9Eb2MueG1s&#10;UEsBAi0AFAAGAAgAAAAhABMN77DYAAAAAwEAAA8AAAAAAAAAAAAAAAAAgQQAAGRycy9kb3ducmV2&#10;LnhtbFBLBQYAAAAABAAEAPMAAACGBQAAAAA=&#10;" filled="f" stroked="f">
              <v:textbox style="mso-fit-shape-to-text:t" inset="0,0,15pt,0">
                <w:txbxContent>
                  <w:p w14:paraId="6608E023" w14:textId="7D8B92A0" w:rsidR="00AF49D6" w:rsidRPr="00AF49D6" w:rsidRDefault="00AF49D6">
                    <w:pPr>
                      <w:rPr>
                        <w:rFonts w:ascii="Calibri" w:eastAsia="Calibri" w:hAnsi="Calibri" w:cs="Calibri"/>
                        <w:color w:val="FF0000"/>
                        <w:sz w:val="20"/>
                        <w:szCs w:val="20"/>
                      </w:rPr>
                    </w:pPr>
                    <w:r w:rsidRPr="00AF49D6">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AD58019" w:rsidR="00533132" w:rsidRPr="00533132" w:rsidRDefault="00AF49D6" w:rsidP="00533132">
    <w:pPr>
      <w:pStyle w:val="Kopfzeile"/>
    </w:pPr>
    <w:r>
      <w:rPr>
        <w:noProof/>
      </w:rPr>
      <mc:AlternateContent>
        <mc:Choice Requires="wps">
          <w:drawing>
            <wp:anchor distT="0" distB="0" distL="0" distR="0" simplePos="0" relativeHeight="251663360" behindDoc="0" locked="0" layoutInCell="1" allowOverlap="1" wp14:anchorId="1BA034B9" wp14:editId="2AF39065">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138F59" w14:textId="326F275E" w:rsidR="00AF49D6" w:rsidRPr="00AF49D6" w:rsidRDefault="00AF49D6">
                          <w:pPr>
                            <w:rPr>
                              <w:rFonts w:ascii="Calibri" w:eastAsia="Calibri" w:hAnsi="Calibri" w:cs="Calibri"/>
                              <w:color w:val="FF0000"/>
                              <w:sz w:val="20"/>
                              <w:szCs w:val="20"/>
                            </w:rPr>
                          </w:pPr>
                          <w:r w:rsidRPr="00AF49D6">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A034B9"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3D138F59" w14:textId="326F275E" w:rsidR="00AF49D6" w:rsidRPr="00AF49D6" w:rsidRDefault="00AF49D6">
                    <w:pPr>
                      <w:rPr>
                        <w:rFonts w:ascii="Calibri" w:eastAsia="Calibri" w:hAnsi="Calibri" w:cs="Calibri"/>
                        <w:color w:val="FF0000"/>
                        <w:sz w:val="20"/>
                        <w:szCs w:val="20"/>
                      </w:rPr>
                    </w:pPr>
                    <w:r w:rsidRPr="00AF49D6">
                      <w:rPr>
                        <w:rFonts w:ascii="Calibri" w:eastAsia="Calibri" w:hAnsi="Calibri" w:cs="Calibri"/>
                        <w:color w:val="FF0000"/>
                        <w:sz w:val="20"/>
                        <w:szCs w:val="20"/>
                      </w:rPr>
                      <w:t>Public</w:t>
                    </w:r>
                  </w:p>
                </w:txbxContent>
              </v:textbox>
              <w10:wrap type="square" anchorx="margin"/>
            </v:shape>
          </w:pict>
        </mc:Fallback>
      </mc:AlternateContent>
    </w:r>
    <w:r w:rsidR="00A07E0C">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08B53D9" w:rsidR="00533132" w:rsidRDefault="00AF49D6">
    <w:pPr>
      <w:pStyle w:val="Kopfzeile"/>
    </w:pPr>
    <w:r>
      <w:rPr>
        <w:noProof/>
      </w:rPr>
      <mc:AlternateContent>
        <mc:Choice Requires="wps">
          <w:drawing>
            <wp:anchor distT="0" distB="0" distL="0" distR="0" simplePos="0" relativeHeight="251661312" behindDoc="0" locked="0" layoutInCell="1" allowOverlap="1" wp14:anchorId="0C1C92C9" wp14:editId="560E80D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05FDFC9" w14:textId="59190B71" w:rsidR="00AF49D6" w:rsidRPr="00AF49D6" w:rsidRDefault="00AF49D6">
                          <w:pPr>
                            <w:rPr>
                              <w:rFonts w:ascii="Calibri" w:eastAsia="Calibri" w:hAnsi="Calibri" w:cs="Calibri"/>
                              <w:color w:val="FF0000"/>
                              <w:sz w:val="20"/>
                              <w:szCs w:val="20"/>
                            </w:rPr>
                          </w:pPr>
                          <w:r w:rsidRPr="00AF49D6">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C1C92C9"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QQK1MKwIAAFAEAAAOAAAAAAAAAAAAAAAAAC4CAABkcnMvZTJvRG9j&#10;LnhtbFBLAQItABQABgAIAAAAIQATDe+w2AAAAAMBAAAPAAAAAAAAAAAAAAAAAIUEAABkcnMvZG93&#10;bnJldi54bWxQSwUGAAAAAAQABADzAAAAigUAAAAA&#10;" filled="f" stroked="f">
              <v:textbox style="mso-fit-shape-to-text:t" inset="0,0,15pt,0">
                <w:txbxContent>
                  <w:p w14:paraId="605FDFC9" w14:textId="59190B71" w:rsidR="00AF49D6" w:rsidRPr="00AF49D6" w:rsidRDefault="00AF49D6">
                    <w:pPr>
                      <w:rPr>
                        <w:rFonts w:ascii="Calibri" w:eastAsia="Calibri" w:hAnsi="Calibri" w:cs="Calibri"/>
                        <w:color w:val="FF0000"/>
                        <w:sz w:val="20"/>
                        <w:szCs w:val="20"/>
                      </w:rPr>
                    </w:pPr>
                    <w:r w:rsidRPr="00AF49D6">
                      <w:rPr>
                        <w:rFonts w:ascii="Calibri" w:eastAsia="Calibri" w:hAnsi="Calibri" w:cs="Calibri"/>
                        <w:color w:val="FF0000"/>
                        <w:sz w:val="20"/>
                        <w:szCs w:val="20"/>
                      </w:rPr>
                      <w:t>Public</w:t>
                    </w:r>
                  </w:p>
                </w:txbxContent>
              </v:textbox>
              <w10:wrap type="square" anchorx="margin"/>
            </v:shape>
          </w:pict>
        </mc:Fallback>
      </mc:AlternateContent>
    </w:r>
    <w:r w:rsidR="00A07E0C">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6FEFE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A07E0C">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7E0C">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D73A5B"/>
    <w:multiLevelType w:val="hybridMultilevel"/>
    <w:tmpl w:val="D3C25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5C7884"/>
    <w:multiLevelType w:val="hybridMultilevel"/>
    <w:tmpl w:val="38186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17E77"/>
    <w:rsid w:val="00042106"/>
    <w:rsid w:val="0005285B"/>
    <w:rsid w:val="00055529"/>
    <w:rsid w:val="00056D7E"/>
    <w:rsid w:val="0005759D"/>
    <w:rsid w:val="00065C32"/>
    <w:rsid w:val="00066D09"/>
    <w:rsid w:val="00077CFB"/>
    <w:rsid w:val="0008411C"/>
    <w:rsid w:val="00091B53"/>
    <w:rsid w:val="0009665C"/>
    <w:rsid w:val="000A36D9"/>
    <w:rsid w:val="000C23B4"/>
    <w:rsid w:val="000C7469"/>
    <w:rsid w:val="000D15C3"/>
    <w:rsid w:val="000D59EC"/>
    <w:rsid w:val="000E24F8"/>
    <w:rsid w:val="000E5738"/>
    <w:rsid w:val="00103205"/>
    <w:rsid w:val="0011795C"/>
    <w:rsid w:val="0012026F"/>
    <w:rsid w:val="001261B3"/>
    <w:rsid w:val="00130601"/>
    <w:rsid w:val="00132055"/>
    <w:rsid w:val="00134112"/>
    <w:rsid w:val="00140D33"/>
    <w:rsid w:val="00141798"/>
    <w:rsid w:val="00152583"/>
    <w:rsid w:val="00155A12"/>
    <w:rsid w:val="001613A6"/>
    <w:rsid w:val="001614F0"/>
    <w:rsid w:val="001616F4"/>
    <w:rsid w:val="00162DA1"/>
    <w:rsid w:val="0018021A"/>
    <w:rsid w:val="00191C5D"/>
    <w:rsid w:val="00194FB1"/>
    <w:rsid w:val="001B16BB"/>
    <w:rsid w:val="001B41B1"/>
    <w:rsid w:val="001B73F7"/>
    <w:rsid w:val="001C1A3E"/>
    <w:rsid w:val="001D49A7"/>
    <w:rsid w:val="00201484"/>
    <w:rsid w:val="00201A84"/>
    <w:rsid w:val="002035A3"/>
    <w:rsid w:val="00216E66"/>
    <w:rsid w:val="002251B4"/>
    <w:rsid w:val="00243FEE"/>
    <w:rsid w:val="00253A2E"/>
    <w:rsid w:val="002603EC"/>
    <w:rsid w:val="00267C64"/>
    <w:rsid w:val="002803D0"/>
    <w:rsid w:val="00286A5D"/>
    <w:rsid w:val="00287542"/>
    <w:rsid w:val="00294E4A"/>
    <w:rsid w:val="0029634D"/>
    <w:rsid w:val="002A5833"/>
    <w:rsid w:val="002A7CD1"/>
    <w:rsid w:val="002B3DAB"/>
    <w:rsid w:val="002D065C"/>
    <w:rsid w:val="002D0780"/>
    <w:rsid w:val="002D2EE5"/>
    <w:rsid w:val="002D66E7"/>
    <w:rsid w:val="002E765F"/>
    <w:rsid w:val="002F07FF"/>
    <w:rsid w:val="002F108B"/>
    <w:rsid w:val="002F5818"/>
    <w:rsid w:val="0030316D"/>
    <w:rsid w:val="0032774C"/>
    <w:rsid w:val="003339AD"/>
    <w:rsid w:val="0034191A"/>
    <w:rsid w:val="003434AB"/>
    <w:rsid w:val="00343CC7"/>
    <w:rsid w:val="0036561D"/>
    <w:rsid w:val="003665BE"/>
    <w:rsid w:val="00374E35"/>
    <w:rsid w:val="00384A08"/>
    <w:rsid w:val="00391376"/>
    <w:rsid w:val="003967E5"/>
    <w:rsid w:val="003A753A"/>
    <w:rsid w:val="003B783E"/>
    <w:rsid w:val="003E1CB6"/>
    <w:rsid w:val="003E3CF6"/>
    <w:rsid w:val="003E759F"/>
    <w:rsid w:val="003E7853"/>
    <w:rsid w:val="00400E5B"/>
    <w:rsid w:val="00400FD9"/>
    <w:rsid w:val="004016F7"/>
    <w:rsid w:val="00403373"/>
    <w:rsid w:val="00406C81"/>
    <w:rsid w:val="00411178"/>
    <w:rsid w:val="00412545"/>
    <w:rsid w:val="00430BB0"/>
    <w:rsid w:val="004629D7"/>
    <w:rsid w:val="004668F8"/>
    <w:rsid w:val="00471F87"/>
    <w:rsid w:val="00476100"/>
    <w:rsid w:val="00487BFC"/>
    <w:rsid w:val="004C55D9"/>
    <w:rsid w:val="004D23D0"/>
    <w:rsid w:val="004D2BE0"/>
    <w:rsid w:val="004E6EF5"/>
    <w:rsid w:val="00506409"/>
    <w:rsid w:val="00524A2F"/>
    <w:rsid w:val="00530E32"/>
    <w:rsid w:val="00533132"/>
    <w:rsid w:val="0053748E"/>
    <w:rsid w:val="005617AF"/>
    <w:rsid w:val="005649F4"/>
    <w:rsid w:val="005710C8"/>
    <w:rsid w:val="005711A3"/>
    <w:rsid w:val="00571A5C"/>
    <w:rsid w:val="00573B2B"/>
    <w:rsid w:val="005776E9"/>
    <w:rsid w:val="00584DC0"/>
    <w:rsid w:val="005A4F04"/>
    <w:rsid w:val="005B5793"/>
    <w:rsid w:val="005B7240"/>
    <w:rsid w:val="005E6946"/>
    <w:rsid w:val="005F0811"/>
    <w:rsid w:val="005F51A6"/>
    <w:rsid w:val="005F7C40"/>
    <w:rsid w:val="00601B16"/>
    <w:rsid w:val="006063D4"/>
    <w:rsid w:val="00613204"/>
    <w:rsid w:val="00621D89"/>
    <w:rsid w:val="006330A2"/>
    <w:rsid w:val="00637A3B"/>
    <w:rsid w:val="00642EB6"/>
    <w:rsid w:val="006433E2"/>
    <w:rsid w:val="0065158F"/>
    <w:rsid w:val="00651E5D"/>
    <w:rsid w:val="00674FDF"/>
    <w:rsid w:val="00682B1A"/>
    <w:rsid w:val="00685AF2"/>
    <w:rsid w:val="006863B5"/>
    <w:rsid w:val="00690D7C"/>
    <w:rsid w:val="006A152B"/>
    <w:rsid w:val="006A2908"/>
    <w:rsid w:val="006B0CDE"/>
    <w:rsid w:val="006B3EEC"/>
    <w:rsid w:val="006B4B33"/>
    <w:rsid w:val="006D7EAC"/>
    <w:rsid w:val="006E0104"/>
    <w:rsid w:val="006F4952"/>
    <w:rsid w:val="006F7602"/>
    <w:rsid w:val="00722A17"/>
    <w:rsid w:val="00723F4F"/>
    <w:rsid w:val="00751718"/>
    <w:rsid w:val="007554C6"/>
    <w:rsid w:val="00755AE0"/>
    <w:rsid w:val="0075761B"/>
    <w:rsid w:val="00757B83"/>
    <w:rsid w:val="0077280A"/>
    <w:rsid w:val="00782786"/>
    <w:rsid w:val="00791A69"/>
    <w:rsid w:val="0079358F"/>
    <w:rsid w:val="00794830"/>
    <w:rsid w:val="00797CAA"/>
    <w:rsid w:val="007C2658"/>
    <w:rsid w:val="007D59A2"/>
    <w:rsid w:val="007E20D0"/>
    <w:rsid w:val="007E3DAB"/>
    <w:rsid w:val="008053B3"/>
    <w:rsid w:val="00820315"/>
    <w:rsid w:val="00832921"/>
    <w:rsid w:val="008427F2"/>
    <w:rsid w:val="00843B45"/>
    <w:rsid w:val="00863129"/>
    <w:rsid w:val="008641D0"/>
    <w:rsid w:val="00866830"/>
    <w:rsid w:val="008755E5"/>
    <w:rsid w:val="008762F7"/>
    <w:rsid w:val="008769C4"/>
    <w:rsid w:val="00877289"/>
    <w:rsid w:val="00892F6F"/>
    <w:rsid w:val="00896F7E"/>
    <w:rsid w:val="008C2A29"/>
    <w:rsid w:val="008C2DB2"/>
    <w:rsid w:val="008C34F2"/>
    <w:rsid w:val="008D770E"/>
    <w:rsid w:val="008F1632"/>
    <w:rsid w:val="008F3A27"/>
    <w:rsid w:val="0090337E"/>
    <w:rsid w:val="00910522"/>
    <w:rsid w:val="00925C47"/>
    <w:rsid w:val="00926274"/>
    <w:rsid w:val="009328FA"/>
    <w:rsid w:val="00932B0F"/>
    <w:rsid w:val="009344B2"/>
    <w:rsid w:val="009354F9"/>
    <w:rsid w:val="00936A78"/>
    <w:rsid w:val="00940EA4"/>
    <w:rsid w:val="00943DB9"/>
    <w:rsid w:val="00950EF8"/>
    <w:rsid w:val="0095230A"/>
    <w:rsid w:val="00952853"/>
    <w:rsid w:val="009646E4"/>
    <w:rsid w:val="0096514A"/>
    <w:rsid w:val="00977EC3"/>
    <w:rsid w:val="00995ACE"/>
    <w:rsid w:val="009B211F"/>
    <w:rsid w:val="009B7C05"/>
    <w:rsid w:val="009C2378"/>
    <w:rsid w:val="009C5A77"/>
    <w:rsid w:val="009C5D99"/>
    <w:rsid w:val="009D016F"/>
    <w:rsid w:val="009D0C52"/>
    <w:rsid w:val="009D207A"/>
    <w:rsid w:val="009E251D"/>
    <w:rsid w:val="009F10A8"/>
    <w:rsid w:val="009F24E4"/>
    <w:rsid w:val="00A02F49"/>
    <w:rsid w:val="00A07E0C"/>
    <w:rsid w:val="00A171F4"/>
    <w:rsid w:val="00A1772D"/>
    <w:rsid w:val="00A177B2"/>
    <w:rsid w:val="00A24EFC"/>
    <w:rsid w:val="00A3534D"/>
    <w:rsid w:val="00A425A3"/>
    <w:rsid w:val="00A43D02"/>
    <w:rsid w:val="00A53D79"/>
    <w:rsid w:val="00A551F4"/>
    <w:rsid w:val="00A83025"/>
    <w:rsid w:val="00A85C1C"/>
    <w:rsid w:val="00A977CE"/>
    <w:rsid w:val="00AB52F9"/>
    <w:rsid w:val="00AC0D1C"/>
    <w:rsid w:val="00AD05F5"/>
    <w:rsid w:val="00AD131F"/>
    <w:rsid w:val="00AD32D5"/>
    <w:rsid w:val="00AD70E4"/>
    <w:rsid w:val="00AF3B3A"/>
    <w:rsid w:val="00AF49D6"/>
    <w:rsid w:val="00AF4E8E"/>
    <w:rsid w:val="00AF6569"/>
    <w:rsid w:val="00B0154F"/>
    <w:rsid w:val="00B0527D"/>
    <w:rsid w:val="00B06014"/>
    <w:rsid w:val="00B06265"/>
    <w:rsid w:val="00B21CA5"/>
    <w:rsid w:val="00B36834"/>
    <w:rsid w:val="00B47768"/>
    <w:rsid w:val="00B5232A"/>
    <w:rsid w:val="00B61E88"/>
    <w:rsid w:val="00B70BC4"/>
    <w:rsid w:val="00B811A0"/>
    <w:rsid w:val="00B84E4D"/>
    <w:rsid w:val="00B90F78"/>
    <w:rsid w:val="00B9458B"/>
    <w:rsid w:val="00BB276B"/>
    <w:rsid w:val="00BD1058"/>
    <w:rsid w:val="00BD3365"/>
    <w:rsid w:val="00BD5391"/>
    <w:rsid w:val="00BD764C"/>
    <w:rsid w:val="00BF1748"/>
    <w:rsid w:val="00BF56B2"/>
    <w:rsid w:val="00C03CE1"/>
    <w:rsid w:val="00C04D4C"/>
    <w:rsid w:val="00C055AB"/>
    <w:rsid w:val="00C11F95"/>
    <w:rsid w:val="00C136DF"/>
    <w:rsid w:val="00C40627"/>
    <w:rsid w:val="00C457C3"/>
    <w:rsid w:val="00C461D9"/>
    <w:rsid w:val="00C500A7"/>
    <w:rsid w:val="00C644CA"/>
    <w:rsid w:val="00C73005"/>
    <w:rsid w:val="00C75E48"/>
    <w:rsid w:val="00C76A1C"/>
    <w:rsid w:val="00C80062"/>
    <w:rsid w:val="00C85E18"/>
    <w:rsid w:val="00CA02D5"/>
    <w:rsid w:val="00CA4A09"/>
    <w:rsid w:val="00CC787C"/>
    <w:rsid w:val="00CC79F9"/>
    <w:rsid w:val="00CC7A35"/>
    <w:rsid w:val="00CD39F4"/>
    <w:rsid w:val="00CF277D"/>
    <w:rsid w:val="00CF36C9"/>
    <w:rsid w:val="00D00B87"/>
    <w:rsid w:val="00D00EC4"/>
    <w:rsid w:val="00D1030D"/>
    <w:rsid w:val="00D166AC"/>
    <w:rsid w:val="00D21EDF"/>
    <w:rsid w:val="00D36BA2"/>
    <w:rsid w:val="00D378E8"/>
    <w:rsid w:val="00D37CF4"/>
    <w:rsid w:val="00D4487C"/>
    <w:rsid w:val="00D54A6E"/>
    <w:rsid w:val="00D61C12"/>
    <w:rsid w:val="00D82729"/>
    <w:rsid w:val="00D82CFD"/>
    <w:rsid w:val="00DB4BB0"/>
    <w:rsid w:val="00DE2147"/>
    <w:rsid w:val="00DE461D"/>
    <w:rsid w:val="00E04039"/>
    <w:rsid w:val="00E14608"/>
    <w:rsid w:val="00E21E67"/>
    <w:rsid w:val="00E30EBF"/>
    <w:rsid w:val="00E316C0"/>
    <w:rsid w:val="00E33FE5"/>
    <w:rsid w:val="00E46193"/>
    <w:rsid w:val="00E52D70"/>
    <w:rsid w:val="00E55534"/>
    <w:rsid w:val="00E55816"/>
    <w:rsid w:val="00E668C9"/>
    <w:rsid w:val="00E7116D"/>
    <w:rsid w:val="00E77997"/>
    <w:rsid w:val="00E914D1"/>
    <w:rsid w:val="00E960D8"/>
    <w:rsid w:val="00EA2CF5"/>
    <w:rsid w:val="00F20920"/>
    <w:rsid w:val="00F23212"/>
    <w:rsid w:val="00F33B16"/>
    <w:rsid w:val="00F353EA"/>
    <w:rsid w:val="00F56318"/>
    <w:rsid w:val="00F6241A"/>
    <w:rsid w:val="00F647AE"/>
    <w:rsid w:val="00F74C2F"/>
    <w:rsid w:val="00F75B79"/>
    <w:rsid w:val="00F80B53"/>
    <w:rsid w:val="00F82525"/>
    <w:rsid w:val="00F838DB"/>
    <w:rsid w:val="00F842FB"/>
    <w:rsid w:val="00F97FEA"/>
    <w:rsid w:val="00FA5148"/>
    <w:rsid w:val="00FB60E1"/>
    <w:rsid w:val="00FD3768"/>
    <w:rsid w:val="00FD468E"/>
    <w:rsid w:val="00FD4A16"/>
    <w:rsid w:val="00FE7A3B"/>
    <w:rsid w:val="00FE7AEF"/>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373C3D48-38CA-4CC1-8FB9-1EBDB11E0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fr-F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fr-FR"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72"/>
    <w:qFormat/>
    <w:rsid w:val="005E6946"/>
    <w:pPr>
      <w:ind w:left="720"/>
      <w:contextualSpacing/>
    </w:pPr>
  </w:style>
  <w:style w:type="paragraph" w:styleId="berarbeitung">
    <w:name w:val="Revision"/>
    <w:hidden/>
    <w:uiPriority w:val="71"/>
    <w:semiHidden/>
    <w:rsid w:val="007554C6"/>
    <w:rPr>
      <w:sz w:val="16"/>
      <w:szCs w:val="16"/>
      <w:lang w:eastAsia="en-US"/>
    </w:rPr>
  </w:style>
  <w:style w:type="paragraph" w:styleId="StandardWeb">
    <w:name w:val="Normal (Web)"/>
    <w:basedOn w:val="Standard"/>
    <w:uiPriority w:val="99"/>
    <w:semiHidden/>
    <w:unhideWhenUsed/>
    <w:rsid w:val="006B0CDE"/>
    <w:pPr>
      <w:spacing w:before="100" w:beforeAutospacing="1" w:after="100" w:afterAutospacing="1"/>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87067">
      <w:bodyDiv w:val="1"/>
      <w:marLeft w:val="0"/>
      <w:marRight w:val="0"/>
      <w:marTop w:val="0"/>
      <w:marBottom w:val="0"/>
      <w:divBdr>
        <w:top w:val="none" w:sz="0" w:space="0" w:color="auto"/>
        <w:left w:val="none" w:sz="0" w:space="0" w:color="auto"/>
        <w:bottom w:val="none" w:sz="0" w:space="0" w:color="auto"/>
        <w:right w:val="none" w:sz="0" w:space="0" w:color="auto"/>
      </w:divBdr>
    </w:div>
    <w:div w:id="74136876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C6ECBDE-597C-4BA7-B0F0-7160CC9D605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393</Words>
  <Characters>2476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2864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Hizman, Claudia</cp:lastModifiedBy>
  <cp:revision>2</cp:revision>
  <cp:lastPrinted>2021-05-07T10:48:00Z</cp:lastPrinted>
  <dcterms:created xsi:type="dcterms:W3CDTF">2022-08-10T09:23:00Z</dcterms:created>
  <dcterms:modified xsi:type="dcterms:W3CDTF">2022-08-10T09:23:00Z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7,a,b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2022-08-10T05:13:48Z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963fe202-e2d9-49ea-b199-047b792f61e8</vt:lpwstr>
  </property>
  <property fmtid="{D5CDD505-2E9C-101B-9397-08002B2CF9AE}" pid="11" name="MSIP_Label_df1a195f-122b-42dc-a2d3-71a1903dcdac_ContentBits">
    <vt:lpwstr>1</vt:lpwstr>
  </property>
</Properties>
</file>