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1D4CAC7" w14:textId="3A27CC87" w:rsidR="004923DC" w:rsidRPr="0081475A" w:rsidRDefault="000E24F8" w:rsidP="002F5818">
      <w:pPr>
        <w:pStyle w:val="1RoadNews"/>
        <w:rPr>
          <w:rFonts w:ascii="Verdana" w:hAnsi="Verdana"/>
          <w:bCs/>
          <w:spacing w:val="0"/>
          <w:sz w:val="40"/>
          <w:szCs w:val="40"/>
        </w:rPr>
      </w:pPr>
      <w:r>
        <w:rPr>
          <w:rFonts w:ascii="Verdana" w:hAnsi="Verdana"/>
          <w:b/>
          <w:sz w:val="40"/>
        </w:rPr>
        <w:t xml:space="preserve">Combinazione perfetta </w:t>
      </w:r>
      <w:r>
        <w:rPr>
          <w:rFonts w:ascii="Verdana" w:hAnsi="Verdana"/>
          <w:b/>
          <w:spacing w:val="0"/>
          <w:sz w:val="40"/>
        </w:rPr>
        <w:t>di MOBICAT 110(i) EVO2 e MOBICONE MCO 90(i) EVO2</w:t>
      </w:r>
      <w:r>
        <w:rPr>
          <w:rFonts w:ascii="Verdana" w:hAnsi="Verdana"/>
          <w:spacing w:val="0"/>
          <w:sz w:val="40"/>
        </w:rPr>
        <w:t xml:space="preserve"> </w:t>
      </w:r>
    </w:p>
    <w:p w14:paraId="7C5C724F" w14:textId="2D6DAEC8" w:rsidR="00936A78" w:rsidRPr="0081475A" w:rsidRDefault="009E064B" w:rsidP="009E064B">
      <w:pPr>
        <w:tabs>
          <w:tab w:val="left" w:pos="5520"/>
        </w:tabs>
        <w:spacing w:line="276" w:lineRule="auto"/>
        <w:jc w:val="both"/>
        <w:rPr>
          <w:b/>
          <w:iCs/>
          <w:sz w:val="22"/>
        </w:rPr>
      </w:pPr>
      <w:r>
        <w:rPr>
          <w:sz w:val="22"/>
        </w:rPr>
        <w:tab/>
      </w:r>
    </w:p>
    <w:p w14:paraId="74E3A06C" w14:textId="3D9F879A" w:rsidR="00F353EA" w:rsidRPr="00D26832" w:rsidRDefault="004923DC" w:rsidP="00823073">
      <w:pPr>
        <w:spacing w:line="276" w:lineRule="auto"/>
        <w:rPr>
          <w:b/>
          <w:iCs/>
          <w:sz w:val="28"/>
          <w:szCs w:val="28"/>
        </w:rPr>
      </w:pPr>
      <w:r>
        <w:rPr>
          <w:b/>
          <w:color w:val="000000" w:themeColor="text1"/>
          <w:sz w:val="28"/>
        </w:rPr>
        <w:t>Le macchine della nuova generazione EVO2 sono combinate tra loro in modo ottimale per l'uso concatenato sulla pietra naturale</w:t>
      </w:r>
    </w:p>
    <w:p w14:paraId="5C26AFAE" w14:textId="0CD1A61A" w:rsidR="00D4487C" w:rsidRPr="00D26832" w:rsidRDefault="00D4487C" w:rsidP="00BD5391">
      <w:pPr>
        <w:spacing w:line="276" w:lineRule="auto"/>
        <w:jc w:val="both"/>
        <w:rPr>
          <w:b/>
          <w:iCs/>
          <w:sz w:val="28"/>
          <w:szCs w:val="28"/>
        </w:rPr>
      </w:pPr>
    </w:p>
    <w:p w14:paraId="24997A65" w14:textId="440DD402" w:rsidR="00D3435B" w:rsidRPr="00D3435B" w:rsidRDefault="004923DC" w:rsidP="00D3435B">
      <w:pPr>
        <w:pStyle w:val="TextBlocksatz"/>
        <w:rPr>
          <w:b/>
          <w:bCs/>
        </w:rPr>
      </w:pPr>
      <w:r>
        <w:rPr>
          <w:b/>
        </w:rPr>
        <w:t xml:space="preserve">Il frantoio a mascelle MOBICAT MC 110(i) EVO2 e il frantoio a cono MOBICONE MCO 90(i) EVO2 sono stati sviluppati per garantire prestazioni, efficienza e flessibilità ottimali. Gli impianti mobili sono spesso utilizzati insieme nel primo e secondo stadio di frantumazione, pertanto il livello di prestazioni congiunto e la semplicità di concatenamento rappresentano un vantaggio. </w:t>
      </w:r>
    </w:p>
    <w:p w14:paraId="4D70E1A9" w14:textId="20FD0601" w:rsidR="00D3435B" w:rsidRDefault="00D3435B" w:rsidP="00BD5391">
      <w:pPr>
        <w:spacing w:line="276" w:lineRule="auto"/>
        <w:jc w:val="both"/>
        <w:rPr>
          <w:b/>
          <w:iCs/>
          <w:sz w:val="22"/>
          <w:szCs w:val="22"/>
        </w:rPr>
      </w:pPr>
    </w:p>
    <w:p w14:paraId="25DC1747" w14:textId="785124BD" w:rsidR="006C649D" w:rsidRDefault="006C649D" w:rsidP="00BD5391">
      <w:pPr>
        <w:spacing w:line="276" w:lineRule="auto"/>
        <w:jc w:val="both"/>
        <w:rPr>
          <w:b/>
          <w:iCs/>
          <w:sz w:val="22"/>
          <w:szCs w:val="22"/>
        </w:rPr>
      </w:pPr>
      <w:r>
        <w:rPr>
          <w:b/>
          <w:sz w:val="22"/>
        </w:rPr>
        <w:t>Prestazioni combinate per la produzione di granuli di calcestruzzo o asfalto</w:t>
      </w:r>
    </w:p>
    <w:p w14:paraId="4A72A529" w14:textId="5510B057" w:rsidR="006C649D" w:rsidRPr="0057201D" w:rsidRDefault="006C649D" w:rsidP="00BD5391">
      <w:pPr>
        <w:spacing w:line="276" w:lineRule="auto"/>
        <w:jc w:val="both"/>
        <w:rPr>
          <w:iCs/>
          <w:color w:val="000000" w:themeColor="text1"/>
          <w:sz w:val="22"/>
          <w:szCs w:val="22"/>
        </w:rPr>
      </w:pPr>
      <w:r>
        <w:rPr>
          <w:sz w:val="22"/>
        </w:rPr>
        <w:t xml:space="preserve">I due impianti di frantumazione della nuova generazione EVO2 sono perfettamente combinati tra loro per quanto riguarda i punti di trasferimento del materiale e le prestazioni: il frantoio a mascelle dispone esattamente della potenza giusta per sfruttare in modo ottimale il frantoio a cono nel secondo stadio di frantumazione. Il corretto livello di riempimento di un frantoio a cono è particolarmente importante per produrre la migliore qualità di granuli con un'usura minima. </w:t>
      </w:r>
      <w:r>
        <w:rPr>
          <w:color w:val="000000" w:themeColor="text1"/>
          <w:sz w:val="22"/>
        </w:rPr>
        <w:t xml:space="preserve">L'MC 110 EVO2 consente di impostare la fessura di frantumazione in modo completamente idraulico con un intervallo fino a 180 mm. A sua volta, grazie ai suoi nuovi utensili di frantumazione l'MCO 90 EVO2 dispone di una fessura con un intervallo di 6-45 mm. A seconda del materiale in entrata, con un impianto di vagliatura collegato a valle è possibile produrre granuli di calcestruzzo o asfalto in un'unica operazione. </w:t>
      </w:r>
    </w:p>
    <w:p w14:paraId="795C57CE" w14:textId="77777777" w:rsidR="005130AA" w:rsidRPr="005130AA" w:rsidRDefault="005130AA" w:rsidP="00BD5391">
      <w:pPr>
        <w:spacing w:line="276" w:lineRule="auto"/>
        <w:jc w:val="both"/>
        <w:rPr>
          <w:iCs/>
          <w:sz w:val="22"/>
          <w:szCs w:val="22"/>
        </w:rPr>
      </w:pPr>
    </w:p>
    <w:p w14:paraId="60489C94" w14:textId="007D4EAB" w:rsidR="00F36C27" w:rsidRPr="006246B2" w:rsidRDefault="002C7542" w:rsidP="00BD5391">
      <w:pPr>
        <w:spacing w:line="276" w:lineRule="auto"/>
        <w:jc w:val="both"/>
        <w:rPr>
          <w:b/>
          <w:iCs/>
          <w:sz w:val="22"/>
          <w:szCs w:val="22"/>
        </w:rPr>
      </w:pPr>
      <w:r>
        <w:rPr>
          <w:b/>
          <w:sz w:val="22"/>
        </w:rPr>
        <w:t xml:space="preserve">CFS (Continuous Feed System) per un processo di frantumazione ottimale e un accoppiamento linee intelligente </w:t>
      </w:r>
    </w:p>
    <w:p w14:paraId="32C14EA9" w14:textId="76E6F8B7" w:rsidR="006246B2" w:rsidRDefault="006246B2" w:rsidP="006246B2">
      <w:pPr>
        <w:pStyle w:val="TextBlocksatz"/>
        <w:rPr>
          <w:iCs/>
        </w:rPr>
      </w:pPr>
      <w:r>
        <w:t>Il processo di frantumazione di entrambi gli impianti è ottimizzato automaticamente tramite l'innovativo controllo di alimentazione CFS (Continuous Feed System) in modo tale che il materiale sia sempre convogliato attraverso le macchine con la massima efficienza. Nella fattispecie, il livello di riempimento delle camere di frantumazione viene monitorato. Se il livello di riempimento raggiunge un'altezza impostabile definita, l'alimentazione del materiale della macchina viene adeguata.</w:t>
      </w:r>
    </w:p>
    <w:p w14:paraId="3CF36E8E" w14:textId="77777777" w:rsidR="006246B2" w:rsidRDefault="006246B2" w:rsidP="006246B2">
      <w:pPr>
        <w:pStyle w:val="TextBlocksatz"/>
        <w:rPr>
          <w:iCs/>
        </w:rPr>
      </w:pPr>
    </w:p>
    <w:p w14:paraId="61E50A29" w14:textId="03D12B96" w:rsidR="006246B2" w:rsidRDefault="006246B2" w:rsidP="006246B2">
      <w:pPr>
        <w:pStyle w:val="TextBlocksatz"/>
        <w:rPr>
          <w:iCs/>
        </w:rPr>
      </w:pPr>
      <w:r>
        <w:t xml:space="preserve">Questo sistema è la base ideale per un accoppiamento linee intelligente di una catena di impianti. Le sonde disponibili opzionalmente sul nastro di scarico e/o sul nastro di scarico fini della macchina collegata a monte monitorano il livello di riempimento dell'unità di alimentazione della macchina rispettivamente collegata a valle. </w:t>
      </w:r>
    </w:p>
    <w:p w14:paraId="2AC3B929" w14:textId="77777777" w:rsidR="006246B2" w:rsidRPr="00A0618A" w:rsidRDefault="006246B2" w:rsidP="006246B2">
      <w:pPr>
        <w:pStyle w:val="TextBlocksatz"/>
        <w:rPr>
          <w:iCs/>
        </w:rPr>
      </w:pPr>
    </w:p>
    <w:p w14:paraId="31A333CF" w14:textId="3B00D614" w:rsidR="006246B2" w:rsidRDefault="006246B2" w:rsidP="006246B2">
      <w:pPr>
        <w:pStyle w:val="TextBlocksatz"/>
        <w:rPr>
          <w:iCs/>
        </w:rPr>
      </w:pPr>
      <w:r>
        <w:t xml:space="preserve">Da un punto di vista della sicurezza tecnica, tutti gli impianti di frantumazione e di vagliatura sono collegati tra loro via cavo. Se, in caso di necessità, viene premuto un </w:t>
      </w:r>
      <w:r>
        <w:lastRenderedPageBreak/>
        <w:t xml:space="preserve">qualsiasi arresto d'emergenza sulla catena di impianti, tutte le macchine si arrestano in sicurezza. </w:t>
      </w:r>
    </w:p>
    <w:p w14:paraId="2A21862C" w14:textId="632515B5" w:rsidR="009C684D" w:rsidRDefault="009C684D" w:rsidP="006246B2">
      <w:pPr>
        <w:pStyle w:val="TextBlocksatz"/>
        <w:rPr>
          <w:iCs/>
        </w:rPr>
      </w:pPr>
    </w:p>
    <w:p w14:paraId="1009B640" w14:textId="77777777" w:rsidR="009C684D" w:rsidRPr="00A470BD" w:rsidRDefault="009C684D" w:rsidP="009C684D">
      <w:pPr>
        <w:pStyle w:val="HeadlineFotos"/>
      </w:pPr>
      <w:r>
        <w:rPr>
          <w:rFonts w:eastAsia="Calibri" w:cs="Arial"/>
          <w:caps w:val="0"/>
        </w:rPr>
        <w:t>Foto</w:t>
      </w:r>
      <w:r>
        <w:t>:</w:t>
      </w:r>
    </w:p>
    <w:tbl>
      <w:tblPr>
        <w:tblStyle w:val="Basic"/>
        <w:tblW w:w="0" w:type="auto"/>
        <w:tblCellSpacing w:w="71" w:type="dxa"/>
        <w:tblLook w:val="04A0" w:firstRow="1" w:lastRow="0" w:firstColumn="1" w:lastColumn="0" w:noHBand="0" w:noVBand="1"/>
      </w:tblPr>
      <w:tblGrid>
        <w:gridCol w:w="4921"/>
        <w:gridCol w:w="4576"/>
      </w:tblGrid>
      <w:tr w:rsidR="009C684D" w:rsidRPr="00620A6C" w14:paraId="46C61BA6" w14:textId="77777777" w:rsidTr="009500D4">
        <w:trPr>
          <w:cnfStyle w:val="100000000000" w:firstRow="1" w:lastRow="0" w:firstColumn="0" w:lastColumn="0" w:oddVBand="0" w:evenVBand="0" w:oddHBand="0" w:evenHBand="0" w:firstRowFirstColumn="0" w:firstRowLastColumn="0" w:lastRowFirstColumn="0" w:lastRowLastColumn="0"/>
          <w:trHeight w:val="2270"/>
          <w:tblCellSpacing w:w="71" w:type="dxa"/>
        </w:trPr>
        <w:tc>
          <w:tcPr>
            <w:tcW w:w="4708" w:type="dxa"/>
            <w:tcBorders>
              <w:right w:val="single" w:sz="4" w:space="0" w:color="auto"/>
            </w:tcBorders>
          </w:tcPr>
          <w:p w14:paraId="5FA16128" w14:textId="79FF4BAD" w:rsidR="009C684D" w:rsidRPr="00E04039" w:rsidRDefault="00544A3E" w:rsidP="009500D4">
            <w:r>
              <w:rPr>
                <w:noProof/>
              </w:rPr>
              <w:drawing>
                <wp:inline distT="0" distB="0" distL="0" distR="0" wp14:anchorId="5207151F" wp14:editId="055F7387">
                  <wp:extent cx="2911127" cy="1647825"/>
                  <wp:effectExtent l="0" t="0" r="381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921357" cy="1653616"/>
                          </a:xfrm>
                          <a:prstGeom prst="rect">
                            <a:avLst/>
                          </a:prstGeom>
                        </pic:spPr>
                      </pic:pic>
                    </a:graphicData>
                  </a:graphic>
                </wp:inline>
              </w:drawing>
            </w:r>
          </w:p>
        </w:tc>
        <w:tc>
          <w:tcPr>
            <w:tcW w:w="4363" w:type="dxa"/>
          </w:tcPr>
          <w:p w14:paraId="58DF51F4" w14:textId="47AE0C74" w:rsidR="009C684D" w:rsidRPr="00544A3E" w:rsidRDefault="0081475A" w:rsidP="009500D4">
            <w:pPr>
              <w:pStyle w:val="berschrift3"/>
              <w:outlineLvl w:val="2"/>
            </w:pPr>
            <w:r>
              <w:t>KL_MCO 90 EVO2_MC 110 EVO2</w:t>
            </w:r>
          </w:p>
          <w:p w14:paraId="6B08AC47" w14:textId="3A8762D2" w:rsidR="009C684D" w:rsidRPr="00544A3E" w:rsidRDefault="00544A3E" w:rsidP="009500D4">
            <w:pPr>
              <w:autoSpaceDE w:val="0"/>
              <w:autoSpaceDN w:val="0"/>
              <w:adjustRightInd w:val="0"/>
              <w:rPr>
                <w:sz w:val="20"/>
                <w:szCs w:val="20"/>
              </w:rPr>
            </w:pPr>
            <w:r>
              <w:rPr>
                <w:color w:val="000000" w:themeColor="text1"/>
                <w:sz w:val="20"/>
              </w:rPr>
              <w:t>Un grande team: il frantoio a cono MOBICONE MCO 90(i) EVO2 e il frantoio a mascelle MOBICAT MC 110(i) EVO2 in un accoppiamento linee con un impianto di vagliatura e un nastro trasportatore</w:t>
            </w:r>
          </w:p>
        </w:tc>
      </w:tr>
    </w:tbl>
    <w:p w14:paraId="709616F9" w14:textId="380A8756" w:rsidR="009C684D" w:rsidRDefault="009C684D" w:rsidP="006246B2">
      <w:pPr>
        <w:pStyle w:val="TextBlocksatz"/>
        <w:rPr>
          <w:iCs/>
        </w:rPr>
      </w:pPr>
    </w:p>
    <w:p w14:paraId="34FA4993" w14:textId="77777777" w:rsidR="00544A3E" w:rsidRPr="00E04039" w:rsidRDefault="00544A3E" w:rsidP="00544A3E">
      <w:pPr>
        <w:pStyle w:val="Text"/>
      </w:pPr>
      <w:r>
        <w:rPr>
          <w:i/>
          <w:u w:val="single"/>
        </w:rPr>
        <w:t>Avvertenza:</w:t>
      </w:r>
      <w:r>
        <w:t xml:space="preserve"> </w:t>
      </w:r>
      <w:r>
        <w:rPr>
          <w:i/>
        </w:rPr>
        <w:t>questa foto è puramente illustrativa. Per la stampa nelle pubblicazioni si prega di utilizzare la foto con risoluzione 300 dpi, che può essere scaricata dal sito web del Wirtgen Group.</w:t>
      </w:r>
    </w:p>
    <w:p w14:paraId="00E55D2E" w14:textId="77777777" w:rsidR="00544A3E" w:rsidRPr="00690D7C" w:rsidRDefault="00544A3E" w:rsidP="00544A3E">
      <w:pPr>
        <w:rPr>
          <w:sz w:val="22"/>
        </w:rPr>
      </w:pPr>
    </w:p>
    <w:p w14:paraId="7A3459D7" w14:textId="77777777" w:rsidR="00544A3E" w:rsidRPr="00E04039" w:rsidRDefault="00544A3E" w:rsidP="00544A3E">
      <w:pPr>
        <w:pStyle w:val="Text"/>
      </w:pPr>
    </w:p>
    <w:tbl>
      <w:tblPr>
        <w:tblStyle w:val="Basic"/>
        <w:tblW w:w="0" w:type="auto"/>
        <w:tblLook w:val="04A0" w:firstRow="1" w:lastRow="0" w:firstColumn="1" w:lastColumn="0" w:noHBand="0" w:noVBand="1"/>
      </w:tblPr>
      <w:tblGrid>
        <w:gridCol w:w="4776"/>
        <w:gridCol w:w="4748"/>
      </w:tblGrid>
      <w:tr w:rsidR="00544A3E" w:rsidRPr="00E04039" w14:paraId="238ECAE5" w14:textId="77777777" w:rsidTr="009500D4">
        <w:trPr>
          <w:cnfStyle w:val="100000000000" w:firstRow="1" w:lastRow="0" w:firstColumn="0" w:lastColumn="0" w:oddVBand="0" w:evenVBand="0" w:oddHBand="0" w:evenHBand="0" w:firstRowFirstColumn="0" w:firstRowLastColumn="0" w:lastRowFirstColumn="0" w:lastRowLastColumn="0"/>
        </w:trPr>
        <w:tc>
          <w:tcPr>
            <w:tcW w:w="4832" w:type="dxa"/>
            <w:tcBorders>
              <w:right w:val="single" w:sz="48" w:space="0" w:color="FFFFFF" w:themeColor="background1"/>
            </w:tcBorders>
          </w:tcPr>
          <w:p w14:paraId="45678CC9" w14:textId="77777777" w:rsidR="00544A3E" w:rsidRPr="00E04039" w:rsidRDefault="00544A3E" w:rsidP="009500D4">
            <w:pPr>
              <w:pStyle w:val="HeadlineKontakte"/>
            </w:pPr>
            <w:r>
              <w:rPr>
                <w:rFonts w:eastAsia="Calibri" w:cs="Arial"/>
                <w:caps w:val="0"/>
              </w:rPr>
              <w:t>Altre informazioni</w:t>
            </w:r>
            <w:r>
              <w:t xml:space="preserve"> </w:t>
            </w:r>
          </w:p>
          <w:p w14:paraId="3090CDD1" w14:textId="77777777" w:rsidR="00544A3E" w:rsidRPr="00E04039" w:rsidRDefault="00544A3E" w:rsidP="009500D4">
            <w:pPr>
              <w:pStyle w:val="HeadlineKontakte"/>
            </w:pPr>
            <w:r>
              <w:rPr>
                <w:rFonts w:eastAsia="Calibri" w:cs="Arial"/>
                <w:caps w:val="0"/>
              </w:rPr>
              <w:t>sono disponibili presso</w:t>
            </w:r>
            <w:r>
              <w:t>:</w:t>
            </w:r>
          </w:p>
          <w:p w14:paraId="3E3499C0" w14:textId="77777777" w:rsidR="00544A3E" w:rsidRPr="00E04039" w:rsidRDefault="00544A3E" w:rsidP="009500D4">
            <w:pPr>
              <w:pStyle w:val="Text"/>
            </w:pPr>
            <w:r>
              <w:t>WIRTGEN GROUP</w:t>
            </w:r>
          </w:p>
          <w:p w14:paraId="02FB37E4" w14:textId="77777777" w:rsidR="00544A3E" w:rsidRPr="00E04039" w:rsidRDefault="00544A3E" w:rsidP="009500D4">
            <w:pPr>
              <w:pStyle w:val="Text"/>
            </w:pPr>
            <w:r>
              <w:t>Public Relations</w:t>
            </w:r>
          </w:p>
          <w:p w14:paraId="7A9BD0D5" w14:textId="77777777" w:rsidR="00544A3E" w:rsidRPr="00E04039" w:rsidRDefault="00544A3E" w:rsidP="009500D4">
            <w:pPr>
              <w:pStyle w:val="Text"/>
            </w:pPr>
            <w:r>
              <w:t>Reinhard-Wirtgen-Straße 2</w:t>
            </w:r>
          </w:p>
          <w:p w14:paraId="46A785A0" w14:textId="77777777" w:rsidR="00544A3E" w:rsidRPr="00E04039" w:rsidRDefault="00544A3E" w:rsidP="009500D4">
            <w:pPr>
              <w:pStyle w:val="Text"/>
            </w:pPr>
            <w:r>
              <w:t>53578 Windhagen</w:t>
            </w:r>
          </w:p>
          <w:p w14:paraId="23BE1A7A" w14:textId="77777777" w:rsidR="00544A3E" w:rsidRPr="00E04039" w:rsidRDefault="00544A3E" w:rsidP="009500D4">
            <w:pPr>
              <w:pStyle w:val="Text"/>
            </w:pPr>
            <w:r>
              <w:t>Germania</w:t>
            </w:r>
          </w:p>
          <w:p w14:paraId="4F0A7B82" w14:textId="77777777" w:rsidR="00544A3E" w:rsidRPr="00E04039" w:rsidRDefault="00544A3E" w:rsidP="009500D4">
            <w:pPr>
              <w:pStyle w:val="Text"/>
            </w:pPr>
          </w:p>
          <w:p w14:paraId="6031051D" w14:textId="77777777" w:rsidR="00544A3E" w:rsidRPr="00755AE0" w:rsidRDefault="00544A3E" w:rsidP="009500D4">
            <w:pPr>
              <w:pStyle w:val="Text"/>
              <w:rPr>
                <w:color w:val="FF0000"/>
              </w:rPr>
            </w:pPr>
            <w:r>
              <w:t xml:space="preserve">Telefono: +49 (0) 2645 131 </w:t>
            </w:r>
            <w:r>
              <w:rPr>
                <w:color w:val="000000" w:themeColor="text1"/>
              </w:rPr>
              <w:t xml:space="preserve">– 1966 </w:t>
            </w:r>
          </w:p>
          <w:p w14:paraId="539E1009" w14:textId="77777777" w:rsidR="00544A3E" w:rsidRPr="00E04039" w:rsidRDefault="00544A3E" w:rsidP="009500D4">
            <w:pPr>
              <w:pStyle w:val="Text"/>
            </w:pPr>
            <w:r>
              <w:t>Telefax: +49 (0) 2645 131 – 499</w:t>
            </w:r>
          </w:p>
          <w:p w14:paraId="71DA15B0" w14:textId="77777777" w:rsidR="00544A3E" w:rsidRPr="00E04039" w:rsidRDefault="00544A3E" w:rsidP="009500D4">
            <w:pPr>
              <w:pStyle w:val="Text"/>
            </w:pPr>
            <w:r>
              <w:t>E-Mail: PR@wirtgen-group.com</w:t>
            </w:r>
          </w:p>
          <w:p w14:paraId="567EFAC5" w14:textId="77777777" w:rsidR="00544A3E" w:rsidRPr="00E04039" w:rsidRDefault="00544A3E" w:rsidP="009500D4">
            <w:pPr>
              <w:pStyle w:val="Text"/>
            </w:pPr>
            <w:r>
              <w:t>www.wirtgen-group.com</w:t>
            </w:r>
          </w:p>
          <w:p w14:paraId="60673EE4" w14:textId="77777777" w:rsidR="00544A3E" w:rsidRPr="00E04039" w:rsidRDefault="00544A3E" w:rsidP="009500D4">
            <w:pPr>
              <w:pStyle w:val="Text"/>
            </w:pPr>
          </w:p>
          <w:p w14:paraId="73E49D2C" w14:textId="77777777" w:rsidR="00544A3E" w:rsidRPr="00E04039" w:rsidRDefault="00544A3E" w:rsidP="009500D4">
            <w:pPr>
              <w:pStyle w:val="Text"/>
            </w:pPr>
          </w:p>
          <w:p w14:paraId="246E93DA" w14:textId="77777777" w:rsidR="00544A3E" w:rsidRPr="00E04039" w:rsidRDefault="00544A3E" w:rsidP="009500D4">
            <w:pPr>
              <w:pStyle w:val="Text"/>
            </w:pPr>
          </w:p>
        </w:tc>
        <w:tc>
          <w:tcPr>
            <w:tcW w:w="4832" w:type="dxa"/>
            <w:tcBorders>
              <w:left w:val="single" w:sz="48" w:space="0" w:color="FFFFFF" w:themeColor="background1"/>
            </w:tcBorders>
          </w:tcPr>
          <w:p w14:paraId="412AD734" w14:textId="77777777" w:rsidR="00544A3E" w:rsidRPr="00E04039" w:rsidRDefault="00544A3E" w:rsidP="009500D4">
            <w:pPr>
              <w:pStyle w:val="Text"/>
            </w:pPr>
          </w:p>
        </w:tc>
      </w:tr>
    </w:tbl>
    <w:p w14:paraId="33C0CE37" w14:textId="77777777" w:rsidR="003D3981" w:rsidRDefault="003D3981" w:rsidP="003D3981">
      <w:pPr>
        <w:rPr>
          <w:sz w:val="22"/>
        </w:rPr>
      </w:pPr>
    </w:p>
    <w:sectPr w:rsidR="003D3981" w:rsidSect="00CA4A09">
      <w:headerReference w:type="even" r:id="rId9"/>
      <w:headerReference w:type="default" r:id="rId10"/>
      <w:footerReference w:type="even" r:id="rId11"/>
      <w:footerReference w:type="default" r:id="rId12"/>
      <w:headerReference w:type="first" r:id="rId13"/>
      <w:footerReference w:type="first" r:id="rId14"/>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EB4BC76" w14:textId="77777777" w:rsidR="00761C9E" w:rsidRDefault="00761C9E" w:rsidP="00E55534">
      <w:r>
        <w:separator/>
      </w:r>
    </w:p>
  </w:endnote>
  <w:endnote w:type="continuationSeparator" w:id="0">
    <w:p w14:paraId="3067445C" w14:textId="77777777" w:rsidR="00761C9E" w:rsidRDefault="00761C9E"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Neue-LightItalic">
    <w:altName w:val="Arial"/>
    <w:charset w:val="00"/>
    <w:family w:val="auto"/>
    <w:pitch w:val="variable"/>
    <w:sig w:usb0="A00002FF" w:usb1="5000205B" w:usb2="00000002" w:usb3="00000000" w:csb0="00000007"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44F397" w14:textId="77777777" w:rsidR="00613F51" w:rsidRDefault="00613F5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2AA73A"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Reinhard-Wirtgen-Str. 2 · D-53578 Windhagen · T: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FA8E78"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716DE6C" w14:textId="77777777" w:rsidR="00761C9E" w:rsidRDefault="00761C9E" w:rsidP="00E55534">
      <w:r>
        <w:separator/>
      </w:r>
    </w:p>
  </w:footnote>
  <w:footnote w:type="continuationSeparator" w:id="0">
    <w:p w14:paraId="651D67FE" w14:textId="77777777" w:rsidR="00761C9E" w:rsidRDefault="00761C9E"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2E400C" w14:textId="6AE55E4A" w:rsidR="00613F51" w:rsidRDefault="00613F51">
    <w:pPr>
      <w:pStyle w:val="Kopfzeile"/>
    </w:pPr>
    <w:r>
      <w:rPr>
        <w:noProof/>
      </w:rPr>
      <mc:AlternateContent>
        <mc:Choice Requires="wps">
          <w:drawing>
            <wp:anchor distT="0" distB="0" distL="0" distR="0" simplePos="0" relativeHeight="251662336" behindDoc="0" locked="0" layoutInCell="1" allowOverlap="1" wp14:anchorId="7C5F2C26" wp14:editId="66A370BF">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1CF18F8" w14:textId="50FDA05C" w:rsidR="00613F51" w:rsidRPr="00613F51" w:rsidRDefault="00613F51">
                          <w:pPr>
                            <w:rPr>
                              <w:rFonts w:ascii="Calibri" w:eastAsia="Calibri" w:hAnsi="Calibri" w:cs="Calibri"/>
                              <w:color w:val="FF0000"/>
                              <w:sz w:val="20"/>
                              <w:szCs w:val="20"/>
                            </w:rPr>
                          </w:pPr>
                          <w:r w:rsidRPr="00613F51">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C5F2C26"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fill o:detectmouseclick="t"/>
              <v:textbox style="mso-fit-shape-to-text:t" inset="0,0,15pt,0">
                <w:txbxContent>
                  <w:p w14:paraId="11CF18F8" w14:textId="50FDA05C" w:rsidR="00613F51" w:rsidRPr="00613F51" w:rsidRDefault="00613F51">
                    <w:pPr>
                      <w:rPr>
                        <w:rFonts w:ascii="Calibri" w:eastAsia="Calibri" w:hAnsi="Calibri" w:cs="Calibri"/>
                        <w:color w:val="FF0000"/>
                        <w:sz w:val="20"/>
                        <w:szCs w:val="20"/>
                      </w:rPr>
                    </w:pPr>
                    <w:r w:rsidRPr="00613F51">
                      <w:rPr>
                        <w:rFonts w:ascii="Calibri" w:eastAsia="Calibri" w:hAnsi="Calibri" w:cs="Calibri"/>
                        <w:color w:val="FF0000"/>
                        <w:sz w:val="20"/>
                        <w:szCs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CEA1B2" w14:textId="742D4490" w:rsidR="00533132" w:rsidRPr="00533132" w:rsidRDefault="00613F51" w:rsidP="00533132">
    <w:pPr>
      <w:pStyle w:val="Kopfzeile"/>
    </w:pPr>
    <w:r>
      <w:rPr>
        <w:noProof/>
      </w:rPr>
      <mc:AlternateContent>
        <mc:Choice Requires="wps">
          <w:drawing>
            <wp:anchor distT="0" distB="0" distL="0" distR="0" simplePos="0" relativeHeight="251663360" behindDoc="0" locked="0" layoutInCell="1" allowOverlap="1" wp14:anchorId="07AC3FAD" wp14:editId="1F1840F3">
              <wp:simplePos x="755650" y="450850"/>
              <wp:positionH relativeFrom="rightMargin">
                <wp:align>right</wp:align>
              </wp:positionH>
              <wp:positionV relativeFrom="paragraph">
                <wp:posOffset>635</wp:posOffset>
              </wp:positionV>
              <wp:extent cx="443865" cy="443865"/>
              <wp:effectExtent l="0" t="0" r="0" b="16510"/>
              <wp:wrapSquare wrapText="bothSides"/>
              <wp:docPr id="9" name="Textfeld 9"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3173824" w14:textId="5CD1A920" w:rsidR="00613F51" w:rsidRPr="00613F51" w:rsidRDefault="00613F51">
                          <w:pPr>
                            <w:rPr>
                              <w:rFonts w:ascii="Calibri" w:eastAsia="Calibri" w:hAnsi="Calibri" w:cs="Calibri"/>
                              <w:color w:val="FF0000"/>
                              <w:sz w:val="20"/>
                              <w:szCs w:val="20"/>
                            </w:rPr>
                          </w:pPr>
                          <w:r w:rsidRPr="00613F51">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07AC3FAD" id="_x0000_t202" coordsize="21600,21600" o:spt="202" path="m,l,21600r21600,l21600,xe">
              <v:stroke joinstyle="miter"/>
              <v:path gradientshapeok="t" o:connecttype="rect"/>
            </v:shapetype>
            <v:shape id="Textfeld 9"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JPZNDUqAgAAUAQAAA4AAAAAAAAAAAAAAAAALgIAAGRycy9lMm9Eb2Mu&#10;eG1sUEsBAi0AFAAGAAgAAAAhABMN77DYAAAAAwEAAA8AAAAAAAAAAAAAAAAAhAQAAGRycy9kb3du&#10;cmV2LnhtbFBLBQYAAAAABAAEAPMAAACJBQAAAAA=&#10;" filled="f" stroked="f">
              <v:fill o:detectmouseclick="t"/>
              <v:textbox style="mso-fit-shape-to-text:t" inset="0,0,15pt,0">
                <w:txbxContent>
                  <w:p w14:paraId="73173824" w14:textId="5CD1A920" w:rsidR="00613F51" w:rsidRPr="00613F51" w:rsidRDefault="00613F51">
                    <w:pPr>
                      <w:rPr>
                        <w:rFonts w:ascii="Calibri" w:eastAsia="Calibri" w:hAnsi="Calibri" w:cs="Calibri"/>
                        <w:color w:val="FF0000"/>
                        <w:sz w:val="20"/>
                        <w:szCs w:val="20"/>
                      </w:rPr>
                    </w:pPr>
                    <w:r w:rsidRPr="00613F51">
                      <w:rPr>
                        <w:rFonts w:ascii="Calibri" w:eastAsia="Calibri" w:hAnsi="Calibri" w:cs="Calibri"/>
                        <w:color w:val="FF0000"/>
                        <w:sz w:val="20"/>
                        <w:szCs w:val="20"/>
                      </w:rPr>
                      <w:t>Public</w:t>
                    </w:r>
                  </w:p>
                </w:txbxContent>
              </v:textbox>
              <w10:wrap type="square" anchorx="margin"/>
            </v:shape>
          </w:pict>
        </mc:Fallback>
      </mc:AlternateContent>
    </w:r>
    <w:r w:rsidR="00BD5391">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B66189F" w14:textId="0815A66E" w:rsidR="00533132" w:rsidRDefault="00613F51">
    <w:pPr>
      <w:pStyle w:val="Kopfzeile"/>
    </w:pPr>
    <w:r>
      <w:rPr>
        <w:noProof/>
      </w:rPr>
      <mc:AlternateContent>
        <mc:Choice Requires="wps">
          <w:drawing>
            <wp:anchor distT="0" distB="0" distL="0" distR="0" simplePos="0" relativeHeight="251661312" behindDoc="0" locked="0" layoutInCell="1" allowOverlap="1" wp14:anchorId="419E8359" wp14:editId="244363C9">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7B8C0D7" w14:textId="15CACF7A" w:rsidR="00613F51" w:rsidRPr="00613F51" w:rsidRDefault="00613F51">
                          <w:pPr>
                            <w:rPr>
                              <w:rFonts w:ascii="Calibri" w:eastAsia="Calibri" w:hAnsi="Calibri" w:cs="Calibri"/>
                              <w:color w:val="FF0000"/>
                              <w:sz w:val="20"/>
                              <w:szCs w:val="20"/>
                            </w:rPr>
                          </w:pPr>
                          <w:r w:rsidRPr="00613F51">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419E8359" id="_x0000_t202" coordsize="21600,21600" o:spt="202" path="m,l,21600r21600,l21600,xe">
              <v:stroke joinstyle="miter"/>
              <v:path gradientshapeok="t" o:connecttype="rect"/>
            </v:shapetype>
            <v:shape id="Textfeld 7"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BQQK1MKwIAAFAEAAAOAAAAAAAAAAAAAAAAAC4CAABkcnMvZTJvRG9j&#10;LnhtbFBLAQItABQABgAIAAAAIQATDe+w2AAAAAMBAAAPAAAAAAAAAAAAAAAAAIUEAABkcnMvZG93&#10;bnJldi54bWxQSwUGAAAAAAQABADzAAAAigUAAAAA&#10;" filled="f" stroked="f">
              <v:fill o:detectmouseclick="t"/>
              <v:textbox style="mso-fit-shape-to-text:t" inset="0,0,15pt,0">
                <w:txbxContent>
                  <w:p w14:paraId="47B8C0D7" w14:textId="15CACF7A" w:rsidR="00613F51" w:rsidRPr="00613F51" w:rsidRDefault="00613F51">
                    <w:pPr>
                      <w:rPr>
                        <w:rFonts w:ascii="Calibri" w:eastAsia="Calibri" w:hAnsi="Calibri" w:cs="Calibri"/>
                        <w:color w:val="FF0000"/>
                        <w:sz w:val="20"/>
                        <w:szCs w:val="20"/>
                      </w:rPr>
                    </w:pPr>
                    <w:r w:rsidRPr="00613F51">
                      <w:rPr>
                        <w:rFonts w:ascii="Calibri" w:eastAsia="Calibri" w:hAnsi="Calibri" w:cs="Calibri"/>
                        <w:color w:val="FF0000"/>
                        <w:sz w:val="20"/>
                        <w:szCs w:val="20"/>
                      </w:rPr>
                      <w:t>Public</w:t>
                    </w:r>
                  </w:p>
                </w:txbxContent>
              </v:textbox>
              <w10:wrap type="square" anchorx="margin"/>
            </v:shape>
          </w:pict>
        </mc:Fallback>
      </mc:AlternateContent>
    </w:r>
    <w:r w:rsidR="00BD5391">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C50264"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00BD5391">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D5391">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style="width:1500pt;height:1500pt" o:bullet="t">
        <v:imagedata r:id="rId1" o:title="AZ_04a"/>
      </v:shape>
    </w:pict>
  </w:numPicBullet>
  <w:numPicBullet w:numPicBulletId="1">
    <w:pict>
      <v:shape id="_x0000_i1043"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2AF76BB"/>
    <w:multiLevelType w:val="hybridMultilevel"/>
    <w:tmpl w:val="42541084"/>
    <w:lvl w:ilvl="0" w:tplc="837CC496">
      <w:start w:val="1"/>
      <w:numFmt w:val="bullet"/>
      <w:lvlText w:val="&gt;"/>
      <w:lvlJc w:val="left"/>
      <w:pPr>
        <w:ind w:left="720" w:hanging="360"/>
      </w:pPr>
      <w:rPr>
        <w:rFonts w:ascii="Verdana" w:eastAsia="Verdana" w:hAnsi="Verdan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9"/>
  </w:num>
  <w:num w:numId="2">
    <w:abstractNumId w:val="9"/>
  </w:num>
  <w:num w:numId="3">
    <w:abstractNumId w:val="9"/>
  </w:num>
  <w:num w:numId="4">
    <w:abstractNumId w:val="9"/>
  </w:num>
  <w:num w:numId="5">
    <w:abstractNumId w:val="9"/>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3271"/>
    <w:rsid w:val="0000551D"/>
    <w:rsid w:val="0000745C"/>
    <w:rsid w:val="000148B3"/>
    <w:rsid w:val="0002081F"/>
    <w:rsid w:val="00042106"/>
    <w:rsid w:val="0005285B"/>
    <w:rsid w:val="00055529"/>
    <w:rsid w:val="00062C3A"/>
    <w:rsid w:val="00066D09"/>
    <w:rsid w:val="0009665C"/>
    <w:rsid w:val="000A0479"/>
    <w:rsid w:val="000A36D9"/>
    <w:rsid w:val="000A4C7D"/>
    <w:rsid w:val="000B160B"/>
    <w:rsid w:val="000B2B6C"/>
    <w:rsid w:val="000C1197"/>
    <w:rsid w:val="000C7C67"/>
    <w:rsid w:val="000D15C3"/>
    <w:rsid w:val="000E24F8"/>
    <w:rsid w:val="000E5738"/>
    <w:rsid w:val="00102E8A"/>
    <w:rsid w:val="00103205"/>
    <w:rsid w:val="00107726"/>
    <w:rsid w:val="00117105"/>
    <w:rsid w:val="0011795C"/>
    <w:rsid w:val="0012026F"/>
    <w:rsid w:val="00130601"/>
    <w:rsid w:val="00132055"/>
    <w:rsid w:val="00137FAE"/>
    <w:rsid w:val="00146C3D"/>
    <w:rsid w:val="00153B47"/>
    <w:rsid w:val="001613A6"/>
    <w:rsid w:val="001614F0"/>
    <w:rsid w:val="001616F4"/>
    <w:rsid w:val="00172117"/>
    <w:rsid w:val="0018021A"/>
    <w:rsid w:val="00185B2C"/>
    <w:rsid w:val="00194944"/>
    <w:rsid w:val="00194FB1"/>
    <w:rsid w:val="001B16BB"/>
    <w:rsid w:val="001B45A5"/>
    <w:rsid w:val="001C1A3E"/>
    <w:rsid w:val="001C4EBB"/>
    <w:rsid w:val="001E4B7C"/>
    <w:rsid w:val="001F07C7"/>
    <w:rsid w:val="00200355"/>
    <w:rsid w:val="0021351D"/>
    <w:rsid w:val="00222E9D"/>
    <w:rsid w:val="00253A2E"/>
    <w:rsid w:val="002603EC"/>
    <w:rsid w:val="0026618D"/>
    <w:rsid w:val="00286C15"/>
    <w:rsid w:val="0029634D"/>
    <w:rsid w:val="002B18EF"/>
    <w:rsid w:val="002B444F"/>
    <w:rsid w:val="002C7542"/>
    <w:rsid w:val="002D0530"/>
    <w:rsid w:val="002D065C"/>
    <w:rsid w:val="002D0780"/>
    <w:rsid w:val="002D2EE5"/>
    <w:rsid w:val="002D63E6"/>
    <w:rsid w:val="002E765F"/>
    <w:rsid w:val="002E7E4E"/>
    <w:rsid w:val="002F108B"/>
    <w:rsid w:val="002F5818"/>
    <w:rsid w:val="0030316D"/>
    <w:rsid w:val="00310054"/>
    <w:rsid w:val="00323645"/>
    <w:rsid w:val="0032774C"/>
    <w:rsid w:val="00332D28"/>
    <w:rsid w:val="00341473"/>
    <w:rsid w:val="0034191A"/>
    <w:rsid w:val="00343CC7"/>
    <w:rsid w:val="00350906"/>
    <w:rsid w:val="003510E7"/>
    <w:rsid w:val="00357C20"/>
    <w:rsid w:val="0036561D"/>
    <w:rsid w:val="003665BE"/>
    <w:rsid w:val="0037470D"/>
    <w:rsid w:val="00375682"/>
    <w:rsid w:val="00384A08"/>
    <w:rsid w:val="00386F60"/>
    <w:rsid w:val="003967E5"/>
    <w:rsid w:val="003A753A"/>
    <w:rsid w:val="003B3803"/>
    <w:rsid w:val="003B6287"/>
    <w:rsid w:val="003C19A8"/>
    <w:rsid w:val="003D3981"/>
    <w:rsid w:val="003E1CB6"/>
    <w:rsid w:val="003E3CF6"/>
    <w:rsid w:val="003E4E81"/>
    <w:rsid w:val="003E759F"/>
    <w:rsid w:val="003E7853"/>
    <w:rsid w:val="003F547E"/>
    <w:rsid w:val="003F57AB"/>
    <w:rsid w:val="00400FD9"/>
    <w:rsid w:val="004016F7"/>
    <w:rsid w:val="00403373"/>
    <w:rsid w:val="00406C81"/>
    <w:rsid w:val="00412545"/>
    <w:rsid w:val="00417237"/>
    <w:rsid w:val="00430BB0"/>
    <w:rsid w:val="00445C96"/>
    <w:rsid w:val="00456374"/>
    <w:rsid w:val="00467F3C"/>
    <w:rsid w:val="0047498D"/>
    <w:rsid w:val="00476100"/>
    <w:rsid w:val="00487BFC"/>
    <w:rsid w:val="004923DC"/>
    <w:rsid w:val="00495D96"/>
    <w:rsid w:val="004A3ABD"/>
    <w:rsid w:val="004B12B1"/>
    <w:rsid w:val="004C1967"/>
    <w:rsid w:val="004D23D0"/>
    <w:rsid w:val="004D2BE0"/>
    <w:rsid w:val="004E6EF5"/>
    <w:rsid w:val="00506409"/>
    <w:rsid w:val="005130AA"/>
    <w:rsid w:val="0052317B"/>
    <w:rsid w:val="00530E32"/>
    <w:rsid w:val="00533132"/>
    <w:rsid w:val="00544A3E"/>
    <w:rsid w:val="00556AA1"/>
    <w:rsid w:val="00560FEC"/>
    <w:rsid w:val="005649F4"/>
    <w:rsid w:val="005710C8"/>
    <w:rsid w:val="005711A3"/>
    <w:rsid w:val="00571A5C"/>
    <w:rsid w:val="0057201D"/>
    <w:rsid w:val="00572429"/>
    <w:rsid w:val="00573B2B"/>
    <w:rsid w:val="005776E9"/>
    <w:rsid w:val="00587AD9"/>
    <w:rsid w:val="005909A8"/>
    <w:rsid w:val="005A4F04"/>
    <w:rsid w:val="005B5793"/>
    <w:rsid w:val="005C46EB"/>
    <w:rsid w:val="005C6B30"/>
    <w:rsid w:val="005C71EC"/>
    <w:rsid w:val="005E3CE2"/>
    <w:rsid w:val="005F2BF7"/>
    <w:rsid w:val="006063D4"/>
    <w:rsid w:val="00613F51"/>
    <w:rsid w:val="00623B37"/>
    <w:rsid w:val="006246B2"/>
    <w:rsid w:val="006330A2"/>
    <w:rsid w:val="00642EB6"/>
    <w:rsid w:val="006433E2"/>
    <w:rsid w:val="00651E5D"/>
    <w:rsid w:val="00660ECD"/>
    <w:rsid w:val="0066461A"/>
    <w:rsid w:val="0066705F"/>
    <w:rsid w:val="006671C2"/>
    <w:rsid w:val="00673749"/>
    <w:rsid w:val="00673F5C"/>
    <w:rsid w:val="00677F11"/>
    <w:rsid w:val="00682B1A"/>
    <w:rsid w:val="00690D7C"/>
    <w:rsid w:val="00690DFE"/>
    <w:rsid w:val="006B3EEC"/>
    <w:rsid w:val="006C649D"/>
    <w:rsid w:val="006D7EAC"/>
    <w:rsid w:val="006E0104"/>
    <w:rsid w:val="006F3715"/>
    <w:rsid w:val="006F7602"/>
    <w:rsid w:val="007052A5"/>
    <w:rsid w:val="00722A17"/>
    <w:rsid w:val="00723F4F"/>
    <w:rsid w:val="00733372"/>
    <w:rsid w:val="00755AE0"/>
    <w:rsid w:val="0075761B"/>
    <w:rsid w:val="00757B83"/>
    <w:rsid w:val="00761C9E"/>
    <w:rsid w:val="0076529E"/>
    <w:rsid w:val="00774358"/>
    <w:rsid w:val="00791A69"/>
    <w:rsid w:val="00794830"/>
    <w:rsid w:val="00797CAA"/>
    <w:rsid w:val="00797FBF"/>
    <w:rsid w:val="007A238B"/>
    <w:rsid w:val="007A2B6F"/>
    <w:rsid w:val="007A6BD2"/>
    <w:rsid w:val="007B2AFE"/>
    <w:rsid w:val="007C2658"/>
    <w:rsid w:val="007C3B1D"/>
    <w:rsid w:val="007C3E0A"/>
    <w:rsid w:val="007D59A2"/>
    <w:rsid w:val="007E20D0"/>
    <w:rsid w:val="007E243A"/>
    <w:rsid w:val="007E3DAB"/>
    <w:rsid w:val="007F35C8"/>
    <w:rsid w:val="00803FB3"/>
    <w:rsid w:val="008053B3"/>
    <w:rsid w:val="0081475A"/>
    <w:rsid w:val="00820315"/>
    <w:rsid w:val="00823073"/>
    <w:rsid w:val="0082316D"/>
    <w:rsid w:val="00832921"/>
    <w:rsid w:val="00836A5D"/>
    <w:rsid w:val="008427F2"/>
    <w:rsid w:val="00843B45"/>
    <w:rsid w:val="00861BFC"/>
    <w:rsid w:val="00863129"/>
    <w:rsid w:val="00866830"/>
    <w:rsid w:val="00870ACE"/>
    <w:rsid w:val="00873125"/>
    <w:rsid w:val="00874785"/>
    <w:rsid w:val="008755E5"/>
    <w:rsid w:val="008847BE"/>
    <w:rsid w:val="00892F6F"/>
    <w:rsid w:val="00894682"/>
    <w:rsid w:val="00896F7E"/>
    <w:rsid w:val="008A3E00"/>
    <w:rsid w:val="008B101D"/>
    <w:rsid w:val="008B63F6"/>
    <w:rsid w:val="008C2A29"/>
    <w:rsid w:val="008C2DB2"/>
    <w:rsid w:val="008D770E"/>
    <w:rsid w:val="008F025E"/>
    <w:rsid w:val="0090337E"/>
    <w:rsid w:val="009049D8"/>
    <w:rsid w:val="00907878"/>
    <w:rsid w:val="00910609"/>
    <w:rsid w:val="009255DF"/>
    <w:rsid w:val="009328FA"/>
    <w:rsid w:val="00936A78"/>
    <w:rsid w:val="009375E1"/>
    <w:rsid w:val="00952853"/>
    <w:rsid w:val="009646E4"/>
    <w:rsid w:val="00977EC3"/>
    <w:rsid w:val="0098631D"/>
    <w:rsid w:val="009A54DB"/>
    <w:rsid w:val="009B211F"/>
    <w:rsid w:val="009B7C05"/>
    <w:rsid w:val="009C2378"/>
    <w:rsid w:val="009C5A77"/>
    <w:rsid w:val="009C5D99"/>
    <w:rsid w:val="009C684D"/>
    <w:rsid w:val="009D016F"/>
    <w:rsid w:val="009D6744"/>
    <w:rsid w:val="009E064B"/>
    <w:rsid w:val="009E251D"/>
    <w:rsid w:val="009F10A8"/>
    <w:rsid w:val="009F6FE1"/>
    <w:rsid w:val="009F715C"/>
    <w:rsid w:val="00A02F49"/>
    <w:rsid w:val="00A1633D"/>
    <w:rsid w:val="00A171F4"/>
    <w:rsid w:val="00A1772D"/>
    <w:rsid w:val="00A177B2"/>
    <w:rsid w:val="00A17F07"/>
    <w:rsid w:val="00A24EFC"/>
    <w:rsid w:val="00A32D6A"/>
    <w:rsid w:val="00A82395"/>
    <w:rsid w:val="00A977CE"/>
    <w:rsid w:val="00AA3218"/>
    <w:rsid w:val="00AA54A7"/>
    <w:rsid w:val="00AB52F9"/>
    <w:rsid w:val="00AD131F"/>
    <w:rsid w:val="00AD279B"/>
    <w:rsid w:val="00AD32D5"/>
    <w:rsid w:val="00AD70E4"/>
    <w:rsid w:val="00AF3B3A"/>
    <w:rsid w:val="00AF4E8E"/>
    <w:rsid w:val="00AF6569"/>
    <w:rsid w:val="00B03C74"/>
    <w:rsid w:val="00B06265"/>
    <w:rsid w:val="00B439B2"/>
    <w:rsid w:val="00B5232A"/>
    <w:rsid w:val="00B60ED1"/>
    <w:rsid w:val="00B62CF5"/>
    <w:rsid w:val="00B85705"/>
    <w:rsid w:val="00B874DC"/>
    <w:rsid w:val="00B90F78"/>
    <w:rsid w:val="00BB5B29"/>
    <w:rsid w:val="00BC1538"/>
    <w:rsid w:val="00BD1058"/>
    <w:rsid w:val="00BD5391"/>
    <w:rsid w:val="00BD764C"/>
    <w:rsid w:val="00BF56B2"/>
    <w:rsid w:val="00C055AB"/>
    <w:rsid w:val="00C11F95"/>
    <w:rsid w:val="00C136DF"/>
    <w:rsid w:val="00C17501"/>
    <w:rsid w:val="00C323F2"/>
    <w:rsid w:val="00C40627"/>
    <w:rsid w:val="00C43EAF"/>
    <w:rsid w:val="00C457C3"/>
    <w:rsid w:val="00C5497A"/>
    <w:rsid w:val="00C644CA"/>
    <w:rsid w:val="00C658FC"/>
    <w:rsid w:val="00C73005"/>
    <w:rsid w:val="00C834AA"/>
    <w:rsid w:val="00C85E18"/>
    <w:rsid w:val="00C868BA"/>
    <w:rsid w:val="00CA4A09"/>
    <w:rsid w:val="00CC5A63"/>
    <w:rsid w:val="00CC787C"/>
    <w:rsid w:val="00CF36C9"/>
    <w:rsid w:val="00D00EC4"/>
    <w:rsid w:val="00D166AC"/>
    <w:rsid w:val="00D26832"/>
    <w:rsid w:val="00D3435B"/>
    <w:rsid w:val="00D36BA2"/>
    <w:rsid w:val="00D37CF4"/>
    <w:rsid w:val="00D4487C"/>
    <w:rsid w:val="00D63D33"/>
    <w:rsid w:val="00D716E5"/>
    <w:rsid w:val="00D73352"/>
    <w:rsid w:val="00D80B09"/>
    <w:rsid w:val="00D935C3"/>
    <w:rsid w:val="00DA0266"/>
    <w:rsid w:val="00DA477E"/>
    <w:rsid w:val="00DB4BB0"/>
    <w:rsid w:val="00DE461D"/>
    <w:rsid w:val="00DE7A1D"/>
    <w:rsid w:val="00DF162D"/>
    <w:rsid w:val="00E04039"/>
    <w:rsid w:val="00E14608"/>
    <w:rsid w:val="00E21E67"/>
    <w:rsid w:val="00E30EBF"/>
    <w:rsid w:val="00E316C0"/>
    <w:rsid w:val="00E31E03"/>
    <w:rsid w:val="00E51539"/>
    <w:rsid w:val="00E52D70"/>
    <w:rsid w:val="00E55534"/>
    <w:rsid w:val="00E56CD3"/>
    <w:rsid w:val="00E6034F"/>
    <w:rsid w:val="00E7116D"/>
    <w:rsid w:val="00E72429"/>
    <w:rsid w:val="00E90564"/>
    <w:rsid w:val="00E914D1"/>
    <w:rsid w:val="00E960D8"/>
    <w:rsid w:val="00EC3015"/>
    <w:rsid w:val="00EC57F7"/>
    <w:rsid w:val="00EE2894"/>
    <w:rsid w:val="00F048D4"/>
    <w:rsid w:val="00F20920"/>
    <w:rsid w:val="00F23212"/>
    <w:rsid w:val="00F33B16"/>
    <w:rsid w:val="00F353EA"/>
    <w:rsid w:val="00F36C27"/>
    <w:rsid w:val="00F466B2"/>
    <w:rsid w:val="00F514EC"/>
    <w:rsid w:val="00F56318"/>
    <w:rsid w:val="00F75B79"/>
    <w:rsid w:val="00F82525"/>
    <w:rsid w:val="00F91AC4"/>
    <w:rsid w:val="00F97FEA"/>
    <w:rsid w:val="00FA4F6F"/>
    <w:rsid w:val="00FB60E1"/>
    <w:rsid w:val="00FC1155"/>
    <w:rsid w:val="00FD3768"/>
    <w:rsid w:val="00FD51E9"/>
    <w:rsid w:val="00FF487E"/>
    <w:rsid w:val="00FF52AE"/>
    <w:rsid w:val="00FF7A3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Verdana" w:eastAsia="Verdana" w:hAnsi="Verdana" w:cs="Times New Roman"/>
        <w:lang w:val="it-I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val="it-IT"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val="it-IT" w:eastAsia="en-US"/>
    </w:rPr>
  </w:style>
  <w:style w:type="paragraph" w:customStyle="1" w:styleId="1RoadNews">
    <w:name w:val="_1RoadNews"/>
    <w:basedOn w:val="Standard"/>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styleId="berarbeitung">
    <w:name w:val="Revision"/>
    <w:hidden/>
    <w:uiPriority w:val="71"/>
    <w:semiHidden/>
    <w:rsid w:val="003C19A8"/>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56165120">
      <w:bodyDiv w:val="1"/>
      <w:marLeft w:val="0"/>
      <w:marRight w:val="0"/>
      <w:marTop w:val="0"/>
      <w:marBottom w:val="0"/>
      <w:divBdr>
        <w:top w:val="none" w:sz="0" w:space="0" w:color="auto"/>
        <w:left w:val="none" w:sz="0" w:space="0" w:color="auto"/>
        <w:bottom w:val="none" w:sz="0" w:space="0" w:color="auto"/>
        <w:right w:val="none" w:sz="0" w:space="0" w:color="auto"/>
      </w:divBdr>
    </w:div>
    <w:div w:id="66042615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_rels/header3.xml.rels><?xml version="1.0" encoding="UTF-8" standalone="yes"?>
<Relationships xmlns="http://schemas.openxmlformats.org/package/2006/relationships"><Relationship Id="rId2" Type="http://schemas.openxmlformats.org/officeDocument/2006/relationships/image" Target="media/image6.wmf"/><Relationship Id="rId1" Type="http://schemas.openxmlformats.org/officeDocument/2006/relationships/image" Target="media/image5.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xmlns:star_td="http://www.star-group.net/schemas/transit/filters/textdata" SelectedStyle="\APA.XSL" StyleName="APA"/>
</file>

<file path=customXml/itemProps1.xml><?xml version="1.0" encoding="utf-8"?>
<ds:datastoreItem xmlns:ds="http://schemas.openxmlformats.org/officeDocument/2006/customXml" ds:itemID="{9EA7E22A-7EF5-48A1-92C3-8EE6CAEBBD0B}">
  <ds:schemaRefs>
    <ds:schemaRef ds:uri="http://schemas.openxmlformats.org/officeDocument/2006/bibliography"/>
    <ds:schemaRef ds:uri="http://www.star-group.net/schemas/transit/filters/textdata"/>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1</Pages>
  <Words>472</Words>
  <Characters>2979</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3445</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Hizman, Claudia</cp:lastModifiedBy>
  <cp:revision>6</cp:revision>
  <cp:lastPrinted>2021-10-15T11:34:00Z</cp:lastPrinted>
  <dcterms:created xsi:type="dcterms:W3CDTF">2021-11-16T16:30:00Z</dcterms:created>
  <dcterms:modified xsi:type="dcterms:W3CDTF">2022-02-08T07:37:00Z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7,8,9</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2022-02-08T07:37:18Z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c3851677-197d-4fae-aceb-91b8cae33cf4</vt:lpwstr>
  </property>
  <property fmtid="{D5CDD505-2E9C-101B-9397-08002B2CF9AE}" pid="11" name="MSIP_Label_df1a195f-122b-42dc-a2d3-71a1903dcdac_ContentBits">
    <vt:lpwstr>1</vt:lpwstr>
  </property>
</Properties>
</file>