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Verdana" w:hAnsi="Verdana"/>
          <w:b/>
          <w:sz w:val="40"/>
        </w:rPr>
        <w:t xml:space="preserve">Un duo coordonné </w:t>
      </w:r>
      <w:r>
        <w:rPr>
          <w:rFonts w:ascii="Verdana" w:hAnsi="Verdana"/>
          <w:b/>
          <w:spacing w:val="0"/>
          <w:sz w:val="40"/>
        </w:rPr>
        <w:t xml:space="preserve">MOBICAT 110(i) EVO2 et MOBICONE MCO 90(i) EVO2 </w:t>
      </w:r>
    </w:p>
    <w:p w14:paraId="7C5C724F" w14:textId="2D6DAEC8" w:rsidR="00936A78" w:rsidRPr="0081475A" w:rsidRDefault="009E064B" w:rsidP="009E064B">
      <w:pPr>
        <w:tabs>
          <w:tab w:val="left" w:pos="5520"/>
        </w:tabs>
        <w:spacing w:line="276" w:lineRule="auto"/>
        <w:jc w:val="both"/>
        <w:rPr>
          <w:b/>
          <w:iCs/>
          <w:sz w:val="22"/>
        </w:rPr>
      </w:pPr>
      <w:r>
        <w:rPr>
          <w:sz w:val="22"/>
        </w:rPr>
        <w:tab/>
      </w:r>
    </w:p>
    <w:p w14:paraId="74E3A06C" w14:textId="3D9F879A" w:rsidR="00F353EA" w:rsidRPr="00D26832" w:rsidRDefault="004923DC" w:rsidP="00823073">
      <w:pPr>
        <w:spacing w:line="276" w:lineRule="auto"/>
        <w:rPr>
          <w:b/>
          <w:iCs/>
          <w:sz w:val="28"/>
          <w:szCs w:val="28"/>
        </w:rPr>
      </w:pPr>
      <w:r>
        <w:rPr>
          <w:b/>
          <w:color w:val="000000" w:themeColor="text1"/>
          <w:sz w:val="28"/>
        </w:rPr>
        <w:t>Les machines de la nouvelle génération EVO2 sont parfaitement adaptées les unes aux autres pour une utilisation en chaîne dans la pierre naturelle</w:t>
      </w:r>
    </w:p>
    <w:p w14:paraId="5C26AFAE" w14:textId="0CD1A61A" w:rsidR="00D4487C" w:rsidRPr="00D26832" w:rsidRDefault="00D4487C" w:rsidP="00BD5391">
      <w:pPr>
        <w:spacing w:line="276" w:lineRule="auto"/>
        <w:jc w:val="both"/>
        <w:rPr>
          <w:b/>
          <w:iCs/>
          <w:sz w:val="28"/>
          <w:szCs w:val="28"/>
        </w:rPr>
      </w:pPr>
    </w:p>
    <w:p w14:paraId="24997A65" w14:textId="440DD402" w:rsidR="00D3435B" w:rsidRPr="00D3435B" w:rsidRDefault="004923DC" w:rsidP="00D3435B">
      <w:pPr>
        <w:pStyle w:val="TextBlocksatz"/>
        <w:rPr>
          <w:b/>
          <w:bCs/>
        </w:rPr>
      </w:pPr>
      <w:r>
        <w:rPr>
          <w:b/>
        </w:rPr>
        <w:t xml:space="preserve">Le concasseur à mâchoires MOBICAT MC 110(i) EVO2 et le broyeur à cône MOBICONE MCO 90(i) EVO2 ont été conçus pour être performants, efficaces et flexibles. Les installations mobiles sont souvent utilisées ensemble dans le premier et le deuxième niveau de broyage, où le niveau de performance commun et la facilité d'enchaînement s'avèrent particulièrement payants. </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b/>
          <w:sz w:val="22"/>
        </w:rPr>
        <w:t>Des performances coordonnées pour la production de granulats de béton ou d'asphalte</w:t>
      </w:r>
    </w:p>
    <w:p w14:paraId="4A72A529" w14:textId="429E06B7" w:rsidR="006C649D" w:rsidRPr="0057201D" w:rsidRDefault="006C649D" w:rsidP="00BD5391">
      <w:pPr>
        <w:spacing w:line="276" w:lineRule="auto"/>
        <w:jc w:val="both"/>
        <w:rPr>
          <w:iCs/>
          <w:color w:val="000000" w:themeColor="text1"/>
          <w:sz w:val="22"/>
          <w:szCs w:val="22"/>
        </w:rPr>
      </w:pPr>
      <w:r>
        <w:rPr>
          <w:sz w:val="22"/>
        </w:rPr>
        <w:t xml:space="preserve">Les deux installations de concassage de la nouvelle génération EVO2 sont parfaitement adaptées l'une à l'autre en ce qui concerne les points de transfert du matériau, et la performance est également adaptée : le concasseur à mâchoires dispose exactement de la bonne puissance pour exploiter de manière optimale le broyeur à cône dans le deuxième niveau de broyage. Le bon niveau de remplissage d'un broyeur à cône est particulièrement important pour produire une qualité de grain optimale avec une usure minimale. </w:t>
      </w:r>
      <w:r>
        <w:rPr>
          <w:color w:val="000000" w:themeColor="text1"/>
          <w:sz w:val="22"/>
        </w:rPr>
        <w:t xml:space="preserve">Le MC 110 EVO2 peut ajuster son écartement de manière entièrement hydraulique dans une plage allant jusqu'à 180 mm. Quant à lui, le MCO 90 EVO2 peut couvrir une plage d'écartement située entre 6 et 45 mm grâce à ses nouveaux outils de concassage. Ce qui permet ainsi de produire des granulats de béton ou d'asphalte - selon le matériau d'alimentation - en une seule opération avec une installation de criblage montée en aval.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b/>
          <w:sz w:val="22"/>
        </w:rPr>
        <w:t xml:space="preserve">CFS (Continuous Feed System) pour un processus de broyage optimal et une interconnexion intelligente </w:t>
      </w:r>
    </w:p>
    <w:p w14:paraId="32C14EA9" w14:textId="76E6F8B7" w:rsidR="006246B2" w:rsidRDefault="006246B2" w:rsidP="006246B2">
      <w:pPr>
        <w:pStyle w:val="TextBlocksatz"/>
        <w:rPr>
          <w:iCs/>
        </w:rPr>
      </w:pPr>
      <w:r>
        <w:t>Le processus de broyage des deux installations est automatiquement optimisé par la régulation innovante de l'alimentation CFS (Continuous Feed System) de manière à ce que le matériau soit toujours transporté avec une efficacité maximale à travers les machines. Pour ce faire, le niveau de remplissage des chambres de broyage est surveillé. Si le niveau de remplissage atteint une hauteur définie et réglable, l'alimentation en matériau de la machine est adaptée.</w:t>
      </w:r>
    </w:p>
    <w:p w14:paraId="3CF36E8E" w14:textId="77777777" w:rsidR="006246B2" w:rsidRDefault="006246B2" w:rsidP="006246B2">
      <w:pPr>
        <w:pStyle w:val="TextBlocksatz"/>
        <w:rPr>
          <w:iCs/>
        </w:rPr>
      </w:pPr>
    </w:p>
    <w:p w14:paraId="61E50A29" w14:textId="03D12B96" w:rsidR="006246B2" w:rsidRDefault="006246B2" w:rsidP="006246B2">
      <w:pPr>
        <w:pStyle w:val="TextBlocksatz"/>
        <w:rPr>
          <w:iCs/>
        </w:rPr>
      </w:pPr>
      <w:r>
        <w:t xml:space="preserve">Ce système est la base idéale pour l'interconnexion intelligente d'un train d'installations en chaîne. Les sondes disponibles en option sur le convoyeur principal et/ou le convoyeur des produits fins de la machine en amont surveillent le niveau de remplissage de l'unité d'alimentation de chaque machine en aval. </w:t>
      </w:r>
    </w:p>
    <w:p w14:paraId="2AC3B929" w14:textId="77777777" w:rsidR="006246B2" w:rsidRPr="00A0618A" w:rsidRDefault="006246B2" w:rsidP="006246B2">
      <w:pPr>
        <w:pStyle w:val="TextBlocksatz"/>
        <w:rPr>
          <w:iCs/>
        </w:rPr>
      </w:pPr>
    </w:p>
    <w:p w14:paraId="31A333CF" w14:textId="3B00D614" w:rsidR="006246B2" w:rsidRDefault="006246B2" w:rsidP="006246B2">
      <w:pPr>
        <w:pStyle w:val="TextBlocksatz"/>
        <w:rPr>
          <w:iCs/>
        </w:rPr>
      </w:pPr>
      <w:r>
        <w:lastRenderedPageBreak/>
        <w:t xml:space="preserve">En termes de sécurité, toutes les installations de broyage et de criblage sont reliées entre-elles par des câbles. Si, en cas d'urgence, un arrêt d'urgence est actionné sur le train d'installations, toutes les machines sont arrêtées en toute sécurité. </w:t>
      </w:r>
    </w:p>
    <w:p w14:paraId="2A21862C" w14:textId="632515B5" w:rsidR="009C684D" w:rsidRDefault="009C684D" w:rsidP="006246B2">
      <w:pPr>
        <w:pStyle w:val="TextBlocksatz"/>
        <w:rPr>
          <w:iCs/>
        </w:rPr>
      </w:pPr>
    </w:p>
    <w:p w14:paraId="1009B640" w14:textId="77777777" w:rsidR="009C684D" w:rsidRPr="00A470BD" w:rsidRDefault="009C684D" w:rsidP="009C684D">
      <w:pPr>
        <w:pStyle w:val="HeadlineFotos"/>
      </w:pPr>
      <w:r>
        <w:rPr>
          <w:rFonts w:eastAsia="Calibri" w:cs="Arial"/>
          <w:caps w:val="0"/>
        </w:rPr>
        <w:t>Photos</w:t>
      </w:r>
      <w:r>
        <w:t> :</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t>KL_MCO 90 EVO2_MC 110 EVO2</w:t>
            </w:r>
          </w:p>
          <w:p w14:paraId="6B08AC47" w14:textId="3A8762D2" w:rsidR="009C684D" w:rsidRPr="00544A3E" w:rsidRDefault="00544A3E" w:rsidP="009500D4">
            <w:pPr>
              <w:autoSpaceDE w:val="0"/>
              <w:autoSpaceDN w:val="0"/>
              <w:adjustRightInd w:val="0"/>
              <w:rPr>
                <w:sz w:val="20"/>
                <w:szCs w:val="20"/>
              </w:rPr>
            </w:pPr>
            <w:r>
              <w:rPr>
                <w:color w:val="000000" w:themeColor="text1"/>
                <w:sz w:val="20"/>
              </w:rPr>
              <w:t>Une équipe puissante : le broyeur à cône MOBICONE MCO 90(i) EVO2 et le concasseur à mâchoires MOBICAT MC 110(i) EVO2 en interconnexion avec une installation de criblage et un convoyeur de stockage</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i/>
          <w:u w:val="single"/>
        </w:rPr>
        <w:t>Remarque :</w:t>
      </w:r>
      <w:r>
        <w:t xml:space="preserve"> </w:t>
      </w:r>
      <w:r>
        <w:rPr>
          <w:i/>
        </w:rPr>
        <w:t>Cette photo n'est qu'un aperçu. Pour une intégration dans des publications, veuillez utiliser le photo en résolution 300 dpi qui est à votre disposition en téléchargement sur les sites Internet du Wirtgen Group.</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79"/>
        <w:gridCol w:w="4745"/>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eastAsia="Calibri" w:cs="Arial"/>
                <w:caps w:val="0"/>
              </w:rPr>
              <w:t>Pour plus d’informations,</w:t>
            </w:r>
            <w:r>
              <w:t xml:space="preserve"> </w:t>
            </w:r>
          </w:p>
          <w:p w14:paraId="3090CDD1" w14:textId="77777777" w:rsidR="00544A3E" w:rsidRPr="00E04039" w:rsidRDefault="00544A3E" w:rsidP="009500D4">
            <w:pPr>
              <w:pStyle w:val="HeadlineKontakte"/>
            </w:pPr>
            <w:r>
              <w:rPr>
                <w:rFonts w:eastAsia="Calibri" w:cs="Arial"/>
                <w:caps w:val="0"/>
              </w:rPr>
              <w:t>adressez-vous à </w:t>
            </w:r>
            <w:r>
              <w:t>:</w:t>
            </w:r>
          </w:p>
          <w:p w14:paraId="3E3499C0" w14:textId="77777777" w:rsidR="00544A3E" w:rsidRPr="00660A47" w:rsidRDefault="00544A3E" w:rsidP="009500D4">
            <w:pPr>
              <w:pStyle w:val="Text"/>
              <w:rPr>
                <w:lang w:val="de-DE"/>
              </w:rPr>
            </w:pPr>
            <w:r w:rsidRPr="00660A47">
              <w:rPr>
                <w:lang w:val="de-DE"/>
              </w:rPr>
              <w:t>WIRTGEN GROUP</w:t>
            </w:r>
          </w:p>
          <w:p w14:paraId="02FB37E4" w14:textId="77777777" w:rsidR="00544A3E" w:rsidRPr="00660A47" w:rsidRDefault="00544A3E" w:rsidP="009500D4">
            <w:pPr>
              <w:pStyle w:val="Text"/>
              <w:rPr>
                <w:lang w:val="de-DE"/>
              </w:rPr>
            </w:pPr>
            <w:r w:rsidRPr="00660A47">
              <w:rPr>
                <w:lang w:val="de-DE"/>
              </w:rPr>
              <w:t>Public Relations</w:t>
            </w:r>
          </w:p>
          <w:p w14:paraId="7A9BD0D5" w14:textId="77777777" w:rsidR="00544A3E" w:rsidRPr="00660A47" w:rsidRDefault="00544A3E" w:rsidP="009500D4">
            <w:pPr>
              <w:pStyle w:val="Text"/>
              <w:rPr>
                <w:lang w:val="de-DE"/>
              </w:rPr>
            </w:pPr>
            <w:r w:rsidRPr="00660A47">
              <w:rPr>
                <w:lang w:val="de-DE"/>
              </w:rPr>
              <w:t>Reinhard-Wirtgen-Straße 2</w:t>
            </w:r>
          </w:p>
          <w:p w14:paraId="46A785A0" w14:textId="77777777" w:rsidR="00544A3E" w:rsidRPr="00E04039" w:rsidRDefault="00544A3E" w:rsidP="009500D4">
            <w:pPr>
              <w:pStyle w:val="Text"/>
            </w:pPr>
            <w:r>
              <w:t>53578 Windhagen</w:t>
            </w:r>
          </w:p>
          <w:p w14:paraId="23BE1A7A" w14:textId="77777777" w:rsidR="00544A3E" w:rsidRPr="00E04039" w:rsidRDefault="00544A3E" w:rsidP="009500D4">
            <w:pPr>
              <w:pStyle w:val="Text"/>
            </w:pPr>
            <w:r>
              <w:t>Allemagne</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t xml:space="preserve">Téléphone : +49 (0) 2645 131 </w:t>
            </w:r>
            <w:r>
              <w:rPr>
                <w:color w:val="000000" w:themeColor="text1"/>
              </w:rPr>
              <w:t xml:space="preserve">– 1966 </w:t>
            </w:r>
          </w:p>
          <w:p w14:paraId="539E1009" w14:textId="77777777" w:rsidR="00544A3E" w:rsidRPr="00E04039" w:rsidRDefault="00544A3E" w:rsidP="009500D4">
            <w:pPr>
              <w:pStyle w:val="Text"/>
            </w:pPr>
            <w:r>
              <w:t>Fax : +49 (0) 2645 131 – 499</w:t>
            </w:r>
          </w:p>
          <w:p w14:paraId="71DA15B0" w14:textId="77777777" w:rsidR="00544A3E" w:rsidRPr="00E04039" w:rsidRDefault="00544A3E" w:rsidP="009500D4">
            <w:pPr>
              <w:pStyle w:val="Text"/>
            </w:pPr>
            <w:r>
              <w:t>E-mail : PR@wirtgen-group.com</w:t>
            </w:r>
          </w:p>
          <w:p w14:paraId="567EFAC5" w14:textId="77777777" w:rsidR="00544A3E" w:rsidRPr="00E04039" w:rsidRDefault="00544A3E" w:rsidP="009500D4">
            <w:pPr>
              <w:pStyle w:val="Text"/>
            </w:pPr>
            <w: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7D8BC9" w14:textId="77777777" w:rsidR="00F236E3" w:rsidRDefault="00F236E3" w:rsidP="00E55534">
      <w:r>
        <w:separator/>
      </w:r>
    </w:p>
  </w:endnote>
  <w:endnote w:type="continuationSeparator" w:id="0">
    <w:p w14:paraId="5C68C676" w14:textId="77777777" w:rsidR="00F236E3" w:rsidRDefault="00F236E3"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6ADA5D" w14:textId="77777777" w:rsidR="00E804B8" w:rsidRDefault="00E804B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1D8AFB61"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660A47">
            <w:rPr>
              <w:rStyle w:val="Hervorhebung"/>
              <w:lang w:val="de-DE"/>
            </w:rPr>
            <w:t>WIRTGEN GmbH</w:t>
          </w:r>
          <w:r w:rsidRPr="00660A47">
            <w:rPr>
              <w:lang w:val="de-DE"/>
            </w:rPr>
            <w:t xml:space="preserve"> · Reinhard-Wirtgen-Str. </w:t>
          </w:r>
          <w:r>
            <w:t>2 · D-53578 Windhagen · T :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03EC6680"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4E5C7E" w14:textId="77777777" w:rsidR="00F236E3" w:rsidRDefault="00F236E3" w:rsidP="00E55534">
      <w:r>
        <w:separator/>
      </w:r>
    </w:p>
  </w:footnote>
  <w:footnote w:type="continuationSeparator" w:id="0">
    <w:p w14:paraId="266BAF55" w14:textId="77777777" w:rsidR="00F236E3" w:rsidRDefault="00F236E3"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D519C7" w14:textId="5657EA5F" w:rsidR="00E804B8" w:rsidRDefault="00E804B8">
    <w:pPr>
      <w:pStyle w:val="Kopfzeile"/>
    </w:pPr>
    <w:r>
      <w:rPr>
        <w:noProof/>
      </w:rPr>
      <mc:AlternateContent>
        <mc:Choice Requires="wps">
          <w:drawing>
            <wp:anchor distT="0" distB="0" distL="0" distR="0" simplePos="0" relativeHeight="251662336" behindDoc="0" locked="0" layoutInCell="1" allowOverlap="1" wp14:anchorId="05C719EE" wp14:editId="285683C6">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87999F" w14:textId="261D10ED" w:rsidR="00E804B8" w:rsidRPr="00E804B8" w:rsidRDefault="00E804B8">
                          <w:pPr>
                            <w:rPr>
                              <w:rFonts w:ascii="Calibri" w:eastAsia="Calibri" w:hAnsi="Calibri" w:cs="Calibri"/>
                              <w:color w:val="FF0000"/>
                              <w:sz w:val="20"/>
                              <w:szCs w:val="20"/>
                            </w:rPr>
                          </w:pPr>
                          <w:r w:rsidRPr="00E804B8">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5C719EE"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0D87999F" w14:textId="261D10ED" w:rsidR="00E804B8" w:rsidRPr="00E804B8" w:rsidRDefault="00E804B8">
                    <w:pPr>
                      <w:rPr>
                        <w:rFonts w:ascii="Calibri" w:eastAsia="Calibri" w:hAnsi="Calibri" w:cs="Calibri"/>
                        <w:color w:val="FF0000"/>
                        <w:sz w:val="20"/>
                        <w:szCs w:val="20"/>
                      </w:rPr>
                    </w:pPr>
                    <w:r w:rsidRPr="00E804B8">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10A8529F" w:rsidR="00533132" w:rsidRPr="00533132" w:rsidRDefault="00E804B8" w:rsidP="00533132">
    <w:pPr>
      <w:pStyle w:val="Kopfzeile"/>
    </w:pPr>
    <w:r>
      <w:rPr>
        <w:noProof/>
      </w:rPr>
      <mc:AlternateContent>
        <mc:Choice Requires="wps">
          <w:drawing>
            <wp:anchor distT="0" distB="0" distL="0" distR="0" simplePos="0" relativeHeight="251663360" behindDoc="0" locked="0" layoutInCell="1" allowOverlap="1" wp14:anchorId="247667FB" wp14:editId="3243926B">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6348F71" w14:textId="596FD0CB" w:rsidR="00E804B8" w:rsidRPr="00E804B8" w:rsidRDefault="00E804B8">
                          <w:pPr>
                            <w:rPr>
                              <w:rFonts w:ascii="Calibri" w:eastAsia="Calibri" w:hAnsi="Calibri" w:cs="Calibri"/>
                              <w:color w:val="FF0000"/>
                              <w:sz w:val="20"/>
                              <w:szCs w:val="20"/>
                            </w:rPr>
                          </w:pPr>
                          <w:r w:rsidRPr="00E804B8">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47667FB"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76348F71" w14:textId="596FD0CB" w:rsidR="00E804B8" w:rsidRPr="00E804B8" w:rsidRDefault="00E804B8">
                    <w:pPr>
                      <w:rPr>
                        <w:rFonts w:ascii="Calibri" w:eastAsia="Calibri" w:hAnsi="Calibri" w:cs="Calibri"/>
                        <w:color w:val="FF0000"/>
                        <w:sz w:val="20"/>
                        <w:szCs w:val="20"/>
                      </w:rPr>
                    </w:pPr>
                    <w:r w:rsidRPr="00E804B8">
                      <w:rPr>
                        <w:rFonts w:ascii="Calibri" w:eastAsia="Calibri" w:hAnsi="Calibri" w:cs="Calibri"/>
                        <w:color w:val="FF0000"/>
                        <w:sz w:val="20"/>
                        <w:szCs w:val="20"/>
                      </w:rPr>
                      <w:t>Public</w:t>
                    </w:r>
                  </w:p>
                </w:txbxContent>
              </v:textbox>
              <w10:wrap type="square" anchorx="margin"/>
            </v:shape>
          </w:pict>
        </mc:Fallback>
      </mc:AlternateContent>
    </w:r>
    <w:r w:rsidR="00BD5391">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1FE2ABF7" w:rsidR="00533132" w:rsidRDefault="00E804B8">
    <w:pPr>
      <w:pStyle w:val="Kopfzeile"/>
    </w:pPr>
    <w:r>
      <w:rPr>
        <w:noProof/>
      </w:rPr>
      <mc:AlternateContent>
        <mc:Choice Requires="wps">
          <w:drawing>
            <wp:anchor distT="0" distB="0" distL="0" distR="0" simplePos="0" relativeHeight="251661312" behindDoc="0" locked="0" layoutInCell="1" allowOverlap="1" wp14:anchorId="55EBF7A0" wp14:editId="549F8650">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BC48D13" w14:textId="0E64B98B" w:rsidR="00E804B8" w:rsidRPr="00E804B8" w:rsidRDefault="00E804B8">
                          <w:pPr>
                            <w:rPr>
                              <w:rFonts w:ascii="Calibri" w:eastAsia="Calibri" w:hAnsi="Calibri" w:cs="Calibri"/>
                              <w:color w:val="FF0000"/>
                              <w:sz w:val="20"/>
                              <w:szCs w:val="20"/>
                            </w:rPr>
                          </w:pPr>
                          <w:r w:rsidRPr="00E804B8">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5EBF7A0"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0BC48D13" w14:textId="0E64B98B" w:rsidR="00E804B8" w:rsidRPr="00E804B8" w:rsidRDefault="00E804B8">
                    <w:pPr>
                      <w:rPr>
                        <w:rFonts w:ascii="Calibri" w:eastAsia="Calibri" w:hAnsi="Calibri" w:cs="Calibri"/>
                        <w:color w:val="FF0000"/>
                        <w:sz w:val="20"/>
                        <w:szCs w:val="20"/>
                      </w:rPr>
                    </w:pPr>
                    <w:r w:rsidRPr="00E804B8">
                      <w:rPr>
                        <w:rFonts w:ascii="Calibri" w:eastAsia="Calibri" w:hAnsi="Calibri" w:cs="Calibri"/>
                        <w:color w:val="FF0000"/>
                        <w:sz w:val="20"/>
                        <w:szCs w:val="20"/>
                      </w:rPr>
                      <w:t>Public</w:t>
                    </w:r>
                  </w:p>
                </w:txbxContent>
              </v:textbox>
              <w10:wrap type="square" anchorx="margin"/>
            </v:shape>
          </w:pict>
        </mc:Fallback>
      </mc:AlternateContent>
    </w:r>
    <w:r w:rsidR="00BD5391">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0854744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7FAE"/>
    <w:rsid w:val="00146C3D"/>
    <w:rsid w:val="00153B47"/>
    <w:rsid w:val="001613A6"/>
    <w:rsid w:val="001614F0"/>
    <w:rsid w:val="001616F4"/>
    <w:rsid w:val="00172117"/>
    <w:rsid w:val="0018021A"/>
    <w:rsid w:val="00185B2C"/>
    <w:rsid w:val="00194944"/>
    <w:rsid w:val="00194FB1"/>
    <w:rsid w:val="001B16BB"/>
    <w:rsid w:val="001B45A5"/>
    <w:rsid w:val="001C1A3E"/>
    <w:rsid w:val="001C4EBB"/>
    <w:rsid w:val="001E4B7C"/>
    <w:rsid w:val="001F07C7"/>
    <w:rsid w:val="001F69F8"/>
    <w:rsid w:val="00200355"/>
    <w:rsid w:val="0021351D"/>
    <w:rsid w:val="00222E9D"/>
    <w:rsid w:val="00253A2E"/>
    <w:rsid w:val="002603EC"/>
    <w:rsid w:val="0026618D"/>
    <w:rsid w:val="00286C15"/>
    <w:rsid w:val="0029634D"/>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477E"/>
    <w:rsid w:val="006063D4"/>
    <w:rsid w:val="00623B37"/>
    <w:rsid w:val="006246B2"/>
    <w:rsid w:val="006330A2"/>
    <w:rsid w:val="00642EB6"/>
    <w:rsid w:val="006433E2"/>
    <w:rsid w:val="00651E5D"/>
    <w:rsid w:val="00660A47"/>
    <w:rsid w:val="00660ECD"/>
    <w:rsid w:val="0066461A"/>
    <w:rsid w:val="0066705F"/>
    <w:rsid w:val="006671C2"/>
    <w:rsid w:val="00673749"/>
    <w:rsid w:val="00673F5C"/>
    <w:rsid w:val="00677F11"/>
    <w:rsid w:val="00682B1A"/>
    <w:rsid w:val="00690D7C"/>
    <w:rsid w:val="00690DFE"/>
    <w:rsid w:val="006B3EEC"/>
    <w:rsid w:val="006C649D"/>
    <w:rsid w:val="006D7EAC"/>
    <w:rsid w:val="006E0104"/>
    <w:rsid w:val="006F3715"/>
    <w:rsid w:val="006F7602"/>
    <w:rsid w:val="007052A5"/>
    <w:rsid w:val="00722A17"/>
    <w:rsid w:val="00723F4F"/>
    <w:rsid w:val="00733372"/>
    <w:rsid w:val="00755AE0"/>
    <w:rsid w:val="0075761B"/>
    <w:rsid w:val="00757B83"/>
    <w:rsid w:val="0076529E"/>
    <w:rsid w:val="00774358"/>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764C"/>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935C3"/>
    <w:rsid w:val="00DA0266"/>
    <w:rsid w:val="00DA477E"/>
    <w:rsid w:val="00DB4BB0"/>
    <w:rsid w:val="00DE461D"/>
    <w:rsid w:val="00DE7A1D"/>
    <w:rsid w:val="00DF162D"/>
    <w:rsid w:val="00E04039"/>
    <w:rsid w:val="00E14608"/>
    <w:rsid w:val="00E21E67"/>
    <w:rsid w:val="00E30EBF"/>
    <w:rsid w:val="00E316C0"/>
    <w:rsid w:val="00E31E03"/>
    <w:rsid w:val="00E51539"/>
    <w:rsid w:val="00E52D70"/>
    <w:rsid w:val="00E55534"/>
    <w:rsid w:val="00E56CD3"/>
    <w:rsid w:val="00E6034F"/>
    <w:rsid w:val="00E7116D"/>
    <w:rsid w:val="00E72429"/>
    <w:rsid w:val="00E804B8"/>
    <w:rsid w:val="00E90564"/>
    <w:rsid w:val="00E914D1"/>
    <w:rsid w:val="00E960D8"/>
    <w:rsid w:val="00EC3015"/>
    <w:rsid w:val="00EC57F7"/>
    <w:rsid w:val="00EE2894"/>
    <w:rsid w:val="00F048D4"/>
    <w:rsid w:val="00F20920"/>
    <w:rsid w:val="00F23212"/>
    <w:rsid w:val="00F236E3"/>
    <w:rsid w:val="00F33B16"/>
    <w:rsid w:val="00F353EA"/>
    <w:rsid w:val="00F36C27"/>
    <w:rsid w:val="00F466B2"/>
    <w:rsid w:val="00F514EC"/>
    <w:rsid w:val="00F56318"/>
    <w:rsid w:val="00F75B79"/>
    <w:rsid w:val="00F82525"/>
    <w:rsid w:val="00F91AC4"/>
    <w:rsid w:val="00F97FEA"/>
    <w:rsid w:val="00FA4F6F"/>
    <w:rsid w:val="00FB60E1"/>
    <w:rsid w:val="00FC1155"/>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fr-F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fr-FR"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473</Words>
  <Characters>2985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3452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cp:revision>
  <cp:lastPrinted>2021-10-15T11:34:00Z</cp:lastPrinted>
  <dcterms:created xsi:type="dcterms:W3CDTF">2022-01-10T14:20:00Z</dcterms:created>
  <dcterms:modified xsi:type="dcterms:W3CDTF">2022-02-08T07:37:00Z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2022-02-08T07:37:02Z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875eb184-8814-4e37-812c-18deb0f95c85</vt:lpwstr>
  </property>
  <property fmtid="{D5CDD505-2E9C-101B-9397-08002B2CF9AE}" pid="11" name="MSIP_Label_df1a195f-122b-42dc-a2d3-71a1903dcdac_ContentBits">
    <vt:lpwstr>1</vt:lpwstr>
  </property>
</Properties>
</file>