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7D7666DC" w:rsidR="00A27829" w:rsidRPr="007B0E8A" w:rsidRDefault="00C82FA1" w:rsidP="00A27829">
      <w:pPr>
        <w:pStyle w:val="Head"/>
      </w:pPr>
      <w:proofErr w:type="spellStart"/>
      <w:r>
        <w:t>Vögele</w:t>
      </w:r>
      <w:proofErr w:type="spellEnd"/>
      <w:r>
        <w:t xml:space="preserve"> présente sur le salon, des finisseurs performants de toutes tailles</w:t>
      </w:r>
    </w:p>
    <w:p w14:paraId="26F0996C" w14:textId="0448650A" w:rsidR="00A46F1E" w:rsidRPr="006A3255" w:rsidRDefault="007B0E8A" w:rsidP="00881E44">
      <w:pPr>
        <w:pStyle w:val="Subhead"/>
      </w:pPr>
      <w:r>
        <w:t xml:space="preserve">Machines des Mini, </w:t>
      </w:r>
      <w:proofErr w:type="spellStart"/>
      <w:r>
        <w:t>Special</w:t>
      </w:r>
      <w:proofErr w:type="spellEnd"/>
      <w:r>
        <w:t> et Highway Class</w:t>
      </w:r>
    </w:p>
    <w:p w14:paraId="193790FB" w14:textId="24E32D84" w:rsidR="00A46F1E" w:rsidRPr="008079A8" w:rsidRDefault="007B0E8A" w:rsidP="00881E44">
      <w:pPr>
        <w:pStyle w:val="Teaser"/>
      </w:pPr>
      <w:proofErr w:type="spellStart"/>
      <w:r>
        <w:t>Vögele</w:t>
      </w:r>
      <w:proofErr w:type="spellEnd"/>
      <w:r>
        <w:t xml:space="preserve"> présente sur le salon World of </w:t>
      </w:r>
      <w:proofErr w:type="spellStart"/>
      <w:r>
        <w:t>Asphalt</w:t>
      </w:r>
      <w:proofErr w:type="spellEnd"/>
      <w:r>
        <w:t xml:space="preserve"> 2022, un bel échantillon de sa gamme de produits actuelle : du plus petit finisseur de routes, le SUPER 700i, au finisseur 10 pieds, le SUPER 2000-3i en passant par le finisseur à rampe intégrée, le SUPER 1800-3i </w:t>
      </w:r>
      <w:proofErr w:type="spellStart"/>
      <w:r>
        <w:t>SprayJet</w:t>
      </w:r>
      <w:proofErr w:type="spellEnd"/>
      <w:r>
        <w:t>. Toutes les machines sont conçues pour apporter productivité, efficacité et précision.</w:t>
      </w:r>
    </w:p>
    <w:p w14:paraId="46FAB6E9" w14:textId="28CB874A" w:rsidR="00373266" w:rsidRDefault="003C1946" w:rsidP="00282AFC">
      <w:pPr>
        <w:pStyle w:val="Standardabsatz"/>
      </w:pPr>
      <w:r>
        <w:t xml:space="preserve">À Nashville, le spécialiste de la construction routière présente une sélection de ses produits spécialement conçus pour le marché nord-américain : le finisseur SUPER 700i de la Mini Class équipé de la table extensible AB 200, le finisseur SUPER 1800-3i </w:t>
      </w:r>
      <w:proofErr w:type="spellStart"/>
      <w:r>
        <w:t>SprayJet</w:t>
      </w:r>
      <w:proofErr w:type="spellEnd"/>
      <w:r>
        <w:t xml:space="preserve"> de la </w:t>
      </w:r>
      <w:proofErr w:type="spellStart"/>
      <w:r>
        <w:t>Special</w:t>
      </w:r>
      <w:proofErr w:type="spellEnd"/>
      <w:r>
        <w:t xml:space="preserve"> Class équipé de la table VR 600 à extensions montées à l’arrière de la table et le finisseur SUPER 2000-3i de la Highway Class équipé de la VF 600, la table extensible de </w:t>
      </w:r>
      <w:proofErr w:type="spellStart"/>
      <w:r>
        <w:t>Vögele</w:t>
      </w:r>
      <w:proofErr w:type="spellEnd"/>
      <w:r>
        <w:t xml:space="preserve"> à extensions montées devant la table. De la pose de chemins piétonniers et de pistes cyclables très étroits en milieu urbain, à la réfection d’autoroutes, en passant par des applications spéciales telles que la pose de couches minces, </w:t>
      </w:r>
      <w:proofErr w:type="spellStart"/>
      <w:r>
        <w:t>Vögele</w:t>
      </w:r>
      <w:proofErr w:type="spellEnd"/>
      <w:r>
        <w:t xml:space="preserve"> couvre ainsi tout le champ d’applications dans la construction routière. Tous les finisseurs et toutes les tables sont fabriqués dans l’usine allemande et sont parfaitement harmonisés.</w:t>
      </w:r>
    </w:p>
    <w:p w14:paraId="3146CF85" w14:textId="6FEC891A" w:rsidR="00373266" w:rsidRPr="0057534A" w:rsidRDefault="00373266" w:rsidP="00373266">
      <w:pPr>
        <w:pStyle w:val="Absatzberschrift"/>
      </w:pPr>
      <w:r>
        <w:t xml:space="preserve">Le finisseur SUPER 2000-3i de la Highway Class avec la table de pose VF 600 </w:t>
      </w:r>
    </w:p>
    <w:p w14:paraId="543A7353" w14:textId="5478AB01" w:rsidR="00AD45D5" w:rsidRPr="00AD45D5" w:rsidRDefault="00492361" w:rsidP="00AD45D5">
      <w:pPr>
        <w:pStyle w:val="Standardabsatz"/>
        <w:rPr>
          <w:bCs/>
          <w:color w:val="000000" w:themeColor="text1"/>
          <w:szCs w:val="22"/>
        </w:rPr>
      </w:pPr>
      <w:r>
        <w:rPr>
          <w:color w:val="000000" w:themeColor="text1"/>
        </w:rPr>
        <w:t>Le finisseur sur chenilles SUPER 2000-3i est spécialement conçu pour répondre aux exigences du marché nord-américain et est extrêmement polyvalent dans son utilisation. Avec un rendement de pose allant jusqu’à 1,540 US t/</w:t>
      </w:r>
      <w:proofErr w:type="spellStart"/>
      <w:r>
        <w:rPr>
          <w:color w:val="000000" w:themeColor="text1"/>
        </w:rPr>
        <w:t>hr</w:t>
      </w:r>
      <w:proofErr w:type="spellEnd"/>
      <w:r>
        <w:rPr>
          <w:color w:val="000000" w:themeColor="text1"/>
        </w:rPr>
        <w:t xml:space="preserve"> (</w:t>
      </w:r>
      <w:r>
        <w:rPr>
          <w:rStyle w:val="product-tilecolumn--righttext"/>
        </w:rPr>
        <w:t>1 400 t/</w:t>
      </w:r>
      <w:proofErr w:type="gramStart"/>
      <w:r>
        <w:rPr>
          <w:rStyle w:val="product-tilecolumn--righttext"/>
        </w:rPr>
        <w:t>h)</w:t>
      </w:r>
      <w:r>
        <w:rPr>
          <w:color w:val="000000" w:themeColor="text1"/>
        </w:rPr>
        <w:t>et</w:t>
      </w:r>
      <w:proofErr w:type="gramEnd"/>
      <w:r>
        <w:rPr>
          <w:color w:val="000000" w:themeColor="text1"/>
        </w:rPr>
        <w:t xml:space="preserve"> un puissant moteur diesel 6 cylindres, il est particulièrement adapté à la construction d’autoroutes et de grandes surfaces commerciales. L’équipement de réduction des émissions « </w:t>
      </w:r>
      <w:proofErr w:type="spellStart"/>
      <w:r>
        <w:rPr>
          <w:color w:val="000000" w:themeColor="text1"/>
        </w:rPr>
        <w:t>Vögele</w:t>
      </w:r>
      <w:proofErr w:type="spellEnd"/>
      <w:r>
        <w:rPr>
          <w:color w:val="000000" w:themeColor="text1"/>
        </w:rPr>
        <w:t> </w:t>
      </w:r>
      <w:proofErr w:type="spellStart"/>
      <w:r>
        <w:rPr>
          <w:color w:val="000000" w:themeColor="text1"/>
        </w:rPr>
        <w:t>EcoPlus</w:t>
      </w:r>
      <w:proofErr w:type="spellEnd"/>
      <w:r>
        <w:rPr>
          <w:color w:val="000000" w:themeColor="text1"/>
        </w:rPr>
        <w:t xml:space="preserve"> » permet une réduction de la consommation de carburant qui peut atteindre 25 % selon l’application et la charge et, réduit nettement les émissions sonores. </w:t>
      </w:r>
      <w:r>
        <w:t xml:space="preserve">Équipé de </w:t>
      </w:r>
      <w:proofErr w:type="spellStart"/>
      <w:r>
        <w:t>la</w:t>
      </w:r>
      <w:r>
        <w:rPr>
          <w:color w:val="000000" w:themeColor="text1"/>
        </w:rPr>
        <w:t>table</w:t>
      </w:r>
      <w:proofErr w:type="spellEnd"/>
      <w:r>
        <w:rPr>
          <w:color w:val="000000" w:themeColor="text1"/>
        </w:rPr>
        <w:t xml:space="preserve"> VF 600 à extensions montées devant la table, le finisseur atteint en outre une largeur de pose maximale de 19 </w:t>
      </w:r>
      <w:proofErr w:type="spellStart"/>
      <w:r>
        <w:rPr>
          <w:color w:val="000000" w:themeColor="text1"/>
        </w:rPr>
        <w:t>ft</w:t>
      </w:r>
      <w:proofErr w:type="spellEnd"/>
      <w:r>
        <w:rPr>
          <w:color w:val="000000" w:themeColor="text1"/>
        </w:rPr>
        <w:t xml:space="preserve"> 6 in (6 m), voire même de 25 </w:t>
      </w:r>
      <w:proofErr w:type="spellStart"/>
      <w:r>
        <w:rPr>
          <w:color w:val="000000" w:themeColor="text1"/>
        </w:rPr>
        <w:t>ft</w:t>
      </w:r>
      <w:proofErr w:type="spellEnd"/>
      <w:r>
        <w:rPr>
          <w:color w:val="000000" w:themeColor="text1"/>
        </w:rPr>
        <w:t xml:space="preserve"> 5 in (</w:t>
      </w:r>
      <w:r>
        <w:rPr>
          <w:rStyle w:val="product-tilecolumn--righttext"/>
        </w:rPr>
        <w:t>7,75 </w:t>
      </w:r>
      <w:proofErr w:type="gramStart"/>
      <w:r>
        <w:rPr>
          <w:rStyle w:val="product-tilecolumn--righttext"/>
        </w:rPr>
        <w:t>m)</w:t>
      </w:r>
      <w:r>
        <w:t>avec</w:t>
      </w:r>
      <w:proofErr w:type="gramEnd"/>
      <w:r>
        <w:t xml:space="preserve"> les rallonges mécaniques</w:t>
      </w:r>
      <w:r>
        <w:rPr>
          <w:color w:val="000000" w:themeColor="text1"/>
        </w:rPr>
        <w:t xml:space="preserve">. Cette table de la gamme des 10 pieds </w:t>
      </w:r>
      <w:proofErr w:type="spellStart"/>
      <w:proofErr w:type="gramStart"/>
      <w:r>
        <w:rPr>
          <w:color w:val="000000" w:themeColor="text1"/>
        </w:rPr>
        <w:t>a</w:t>
      </w:r>
      <w:proofErr w:type="spellEnd"/>
      <w:proofErr w:type="gramEnd"/>
      <w:r>
        <w:rPr>
          <w:color w:val="000000" w:themeColor="text1"/>
        </w:rPr>
        <w:t xml:space="preserve"> tous les atouts pour pouvoir effectuer la pose à vitesse élevée et sur des largeurs de travail extrêmement variables : le système de guidage télescopique permet, par exemple, de régler la largeur de manière très souple et avec précision. Le cadre en forme de </w:t>
      </w:r>
      <w:proofErr w:type="spellStart"/>
      <w:r>
        <w:rPr>
          <w:color w:val="000000" w:themeColor="text1"/>
        </w:rPr>
        <w:t>L offre</w:t>
      </w:r>
      <w:proofErr w:type="spellEnd"/>
      <w:r>
        <w:rPr>
          <w:color w:val="000000" w:themeColor="text1"/>
        </w:rPr>
        <w:t xml:space="preserve"> en outre, une grande rigidité dans les sens longitudinaux et transversaux tout en permettant une torsion contrôlée. La table peut ainsi très bien s’adapter à de multiples situations de pose.</w:t>
      </w:r>
    </w:p>
    <w:p w14:paraId="392CBDFE" w14:textId="56CA1954" w:rsidR="00D777DE" w:rsidRDefault="00F32638" w:rsidP="00282AFC">
      <w:pPr>
        <w:pStyle w:val="Standardabsatz"/>
        <w:rPr>
          <w:bCs/>
          <w:color w:val="000000" w:themeColor="text1"/>
          <w:szCs w:val="22"/>
        </w:rPr>
      </w:pPr>
      <w:r>
        <w:rPr>
          <w:color w:val="000000" w:themeColor="text1"/>
        </w:rPr>
        <w:t xml:space="preserve">Le finisseur et la table sont dotés du système de conduite </w:t>
      </w:r>
      <w:proofErr w:type="spellStart"/>
      <w:r>
        <w:rPr>
          <w:color w:val="000000" w:themeColor="text1"/>
        </w:rPr>
        <w:t>ErgoPlus</w:t>
      </w:r>
      <w:proofErr w:type="spellEnd"/>
      <w:r>
        <w:rPr>
          <w:color w:val="000000" w:themeColor="text1"/>
        </w:rPr>
        <w:t xml:space="preserve"> 3 qui se compose, d’un poste de conduite ergonomique avec un pupitre de commande de l’opérateur et de deux pupitres de commande du régleur. Il permet de définir, surveiller et modifier tous les paramètres de pose pertinents, y compris le système de nivellement automatique </w:t>
      </w:r>
      <w:proofErr w:type="spellStart"/>
      <w:r>
        <w:rPr>
          <w:color w:val="000000" w:themeColor="text1"/>
        </w:rPr>
        <w:t>Niveltronic</w:t>
      </w:r>
      <w:proofErr w:type="spellEnd"/>
      <w:r>
        <w:rPr>
          <w:color w:val="000000" w:themeColor="text1"/>
        </w:rPr>
        <w:t> Plus.</w:t>
      </w:r>
    </w:p>
    <w:p w14:paraId="5016F037" w14:textId="77777777" w:rsidR="00D777DE" w:rsidRDefault="00D777DE">
      <w:pPr>
        <w:rPr>
          <w:rFonts w:eastAsiaTheme="minorHAnsi" w:cstheme="minorBidi"/>
          <w:bCs/>
          <w:color w:val="000000" w:themeColor="text1"/>
          <w:sz w:val="22"/>
          <w:szCs w:val="22"/>
        </w:rPr>
      </w:pPr>
      <w:r>
        <w:br w:type="page"/>
      </w:r>
    </w:p>
    <w:p w14:paraId="60D965E9" w14:textId="08643161" w:rsidR="00B2736F" w:rsidRPr="00207B69" w:rsidRDefault="00B2736F" w:rsidP="00B2736F">
      <w:pPr>
        <w:pStyle w:val="Absatzberschrift"/>
      </w:pPr>
      <w:r>
        <w:lastRenderedPageBreak/>
        <w:t>Le finisseur SUPER 1800-3i </w:t>
      </w:r>
      <w:proofErr w:type="spellStart"/>
      <w:r>
        <w:t>SprayJet</w:t>
      </w:r>
      <w:proofErr w:type="spellEnd"/>
      <w:r>
        <w:t xml:space="preserve"> de la </w:t>
      </w:r>
      <w:proofErr w:type="spellStart"/>
      <w:r>
        <w:t>Special</w:t>
      </w:r>
      <w:proofErr w:type="spellEnd"/>
      <w:r>
        <w:t> Class avec la table de pose VR 600</w:t>
      </w:r>
    </w:p>
    <w:p w14:paraId="0F278B5E" w14:textId="29BC75A9" w:rsidR="00B2736F" w:rsidRDefault="00612527" w:rsidP="00B2736F">
      <w:pPr>
        <w:pStyle w:val="Standardabsatz"/>
      </w:pPr>
      <w:r>
        <w:t xml:space="preserve">Le finisseur à rampe intégrée de </w:t>
      </w:r>
      <w:proofErr w:type="spellStart"/>
      <w:r>
        <w:t>Vögele</w:t>
      </w:r>
      <w:proofErr w:type="spellEnd"/>
      <w:r>
        <w:t xml:space="preserve"> offre un concept de machine modulaire unique en son genre : il peut ainsi être utilisé comme finisseur à rampe intégrée ou comme finisseur standard et peut poser aussi bien des couches minces que des couches de roulement et de liaison conventionnelles. Cela offre une flexibilité maximale aux entreprises de construction. Le répandage de l’émulsion de bitume et la pose du revêtement en enrobé s’effectuent en une seule opération. Cela permet un avancement rapide des travaux et évite que les engins de chantier ne roulent sur le film de liant et ne l’endommagent. </w:t>
      </w:r>
    </w:p>
    <w:p w14:paraId="66D98161" w14:textId="5DC1BD6B" w:rsidR="004771C9" w:rsidRDefault="004771C9" w:rsidP="00B2736F">
      <w:pPr>
        <w:pStyle w:val="Standardabsatz"/>
      </w:pPr>
      <w:r>
        <w:t>Le SUPER 1800-3i </w:t>
      </w:r>
      <w:proofErr w:type="spellStart"/>
      <w:r>
        <w:t>SprayJet</w:t>
      </w:r>
      <w:proofErr w:type="spellEnd"/>
      <w:r>
        <w:t xml:space="preserve"> dispose d’une largeur de répandage maximum de </w:t>
      </w:r>
      <w:r>
        <w:rPr>
          <w:color w:val="000000" w:themeColor="text1"/>
        </w:rPr>
        <w:t>19 </w:t>
      </w:r>
      <w:proofErr w:type="spellStart"/>
      <w:r>
        <w:rPr>
          <w:color w:val="000000" w:themeColor="text1"/>
        </w:rPr>
        <w:t>ft</w:t>
      </w:r>
      <w:proofErr w:type="spellEnd"/>
      <w:r>
        <w:rPr>
          <w:color w:val="000000" w:themeColor="text1"/>
        </w:rPr>
        <w:t xml:space="preserve"> 6 in (6 m) </w:t>
      </w:r>
      <w:r>
        <w:t>et répond à toutes les exigences en termes de pose d’enrobé lorsqu'il est équipé de la table VR 600 à extensions montées à l’arrière de la table, qui a été spécialement conçue pour le marché nord-américain.</w:t>
      </w:r>
    </w:p>
    <w:p w14:paraId="5890D53E" w14:textId="01E63322" w:rsidR="0008066B" w:rsidRDefault="0008066B" w:rsidP="00B2736F">
      <w:pPr>
        <w:pStyle w:val="Standardabsatz"/>
      </w:pPr>
      <w:r>
        <w:t xml:space="preserve">Le modèle présenté sur le salon World of </w:t>
      </w:r>
      <w:proofErr w:type="spellStart"/>
      <w:r>
        <w:t>Asphalt</w:t>
      </w:r>
      <w:proofErr w:type="spellEnd"/>
      <w:r>
        <w:t xml:space="preserve"> est par exemple équipé d’un réservoir </w:t>
      </w:r>
      <w:proofErr w:type="gramStart"/>
      <w:r>
        <w:t>d’ émulsion</w:t>
      </w:r>
      <w:proofErr w:type="gramEnd"/>
      <w:r>
        <w:t xml:space="preserve"> supplémentaire permettant de stocker 1,320 gal (5 000 l) d’émulsion en plus du réservoir d’émulsion standard de 555 gal (2 100 l). Ce module optionnel est particulièrement adapté aux applications nécessitant de très grandes quantités d’émulsion.</w:t>
      </w:r>
    </w:p>
    <w:p w14:paraId="0E99A76C" w14:textId="4B13191E" w:rsidR="00B2736F" w:rsidRPr="00B2736F" w:rsidRDefault="00B2736F" w:rsidP="00B2736F">
      <w:pPr>
        <w:pStyle w:val="Absatzberschrift"/>
      </w:pPr>
      <w:r>
        <w:t>Le finisseur SUPER 700i de la Mini Class avec la table de pose AB 200</w:t>
      </w:r>
    </w:p>
    <w:p w14:paraId="3CA11B84" w14:textId="3E5A513F" w:rsidR="000432A1" w:rsidRDefault="00A255BE" w:rsidP="00282AFC">
      <w:pPr>
        <w:pStyle w:val="Standardabsatz"/>
      </w:pPr>
      <w:r>
        <w:t xml:space="preserve">À Nashville, </w:t>
      </w:r>
      <w:proofErr w:type="spellStart"/>
      <w:r>
        <w:t>Vögele</w:t>
      </w:r>
      <w:proofErr w:type="spellEnd"/>
      <w:r>
        <w:t xml:space="preserve"> présente non seulement la technologie pour les grands chantiers, mais aussi celle pour les chantiers étroits comme les chemins piétonniers et les pistes cyclables : équipé de la table extensible AB 200, le plus petit finisseur de la gamme, le SUPER 700i, peut réaliser des largeurs de pose entre 3 </w:t>
      </w:r>
      <w:proofErr w:type="spellStart"/>
      <w:r>
        <w:t>ft</w:t>
      </w:r>
      <w:proofErr w:type="spellEnd"/>
      <w:r>
        <w:t xml:space="preserve"> 7 in (1,1 m) et 6 </w:t>
      </w:r>
      <w:proofErr w:type="spellStart"/>
      <w:r>
        <w:t>ft</w:t>
      </w:r>
      <w:proofErr w:type="spellEnd"/>
      <w:r>
        <w:t xml:space="preserve"> 7 in (2 m). Avec des sabots de réduction, ce finisseur de la Mini Class peut même atteindre une largeur de pose minimum de seulement 1 </w:t>
      </w:r>
      <w:proofErr w:type="spellStart"/>
      <w:r>
        <w:t>ft</w:t>
      </w:r>
      <w:proofErr w:type="spellEnd"/>
      <w:r>
        <w:t xml:space="preserve"> 8 in (0,5 m) et, avec des rallonges mécaniques, une largeur de pose maximum de 10 </w:t>
      </w:r>
      <w:proofErr w:type="spellStart"/>
      <w:r>
        <w:t>ft</w:t>
      </w:r>
      <w:proofErr w:type="spellEnd"/>
      <w:r>
        <w:t xml:space="preserve"> 6 in (3,2 m). C’est donc la machine idéale pour tous les petits chantiers qui nécessitent maniabilité et dimensions compactes. </w:t>
      </w:r>
    </w:p>
    <w:p w14:paraId="24CB86A7" w14:textId="497B1AA6" w:rsidR="00BB1327" w:rsidRPr="00AE046C" w:rsidRDefault="000432A1" w:rsidP="00282AFC">
      <w:pPr>
        <w:pStyle w:val="Standardabsatz"/>
      </w:pPr>
      <w:r>
        <w:t xml:space="preserve">Le mini-finisseur est équipé du système de conduite clair et intuitif </w:t>
      </w:r>
      <w:proofErr w:type="spellStart"/>
      <w:r>
        <w:t>ErgoBasic</w:t>
      </w:r>
      <w:proofErr w:type="spellEnd"/>
      <w:r>
        <w:t xml:space="preserve">, qui offre toutes les fonctions de base pour une pose de haute qualité. Parmi celles-ci figurent les affichages clairs des fonctions et des états, la commande des différents modes de fonctionnement, un rétroéclairage non aveuglant pour les interventions de nuit, ainsi qu’une direction simple à l’aide d’une molette. </w:t>
      </w:r>
      <w:proofErr w:type="spellStart"/>
      <w:r>
        <w:t>ErgoBasic</w:t>
      </w:r>
      <w:proofErr w:type="spellEnd"/>
      <w:r>
        <w:t xml:space="preserve"> et </w:t>
      </w:r>
      <w:proofErr w:type="spellStart"/>
      <w:r>
        <w:t>ErgoPlus</w:t>
      </w:r>
      <w:proofErr w:type="spellEnd"/>
      <w:r>
        <w:t xml:space="preserve"> 3 reposent sur le même concept et utilisent les mêmes pictogrammes : les utilisateurs peuvent ainsi passer très facilement d’une classe de finisseurs à l’autre. </w:t>
      </w:r>
    </w:p>
    <w:p w14:paraId="11204A14" w14:textId="77777777" w:rsidR="00FE662B" w:rsidRDefault="00FE662B" w:rsidP="00E15EBE">
      <w:pPr>
        <w:pStyle w:val="Fotos"/>
      </w:pPr>
    </w:p>
    <w:p w14:paraId="05B433AD" w14:textId="77777777" w:rsidR="00062E08" w:rsidRDefault="00062E08">
      <w:pPr>
        <w:rPr>
          <w:rFonts w:eastAsiaTheme="minorHAnsi" w:cstheme="minorBidi"/>
          <w:b/>
          <w:sz w:val="22"/>
          <w:szCs w:val="24"/>
        </w:rPr>
      </w:pPr>
      <w:r>
        <w:br w:type="page"/>
      </w:r>
    </w:p>
    <w:p w14:paraId="31412CCB" w14:textId="70444266" w:rsidR="00E15EBE" w:rsidRPr="005E7E55" w:rsidRDefault="00E15EBE" w:rsidP="00E15EBE">
      <w:pPr>
        <w:pStyle w:val="Fotos"/>
      </w:pPr>
      <w:r>
        <w:lastRenderedPageBreak/>
        <w:t>Photos :</w:t>
      </w:r>
    </w:p>
    <w:p w14:paraId="20879CE4" w14:textId="15414745" w:rsidR="002611FE" w:rsidRDefault="00062E08" w:rsidP="002611FE">
      <w:pPr>
        <w:pStyle w:val="BUbold"/>
      </w:pPr>
      <w:r>
        <w:rPr>
          <w:noProof/>
        </w:rPr>
        <w:drawing>
          <wp:inline distT="0" distB="0" distL="0" distR="0" wp14:anchorId="2F8A8FC7" wp14:editId="34CD03DC">
            <wp:extent cx="2428875" cy="209550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rotWithShape="1">
                    <a:blip r:embed="rId8"/>
                    <a:srcRect t="6666" b="7059"/>
                    <a:stretch/>
                  </pic:blipFill>
                  <pic:spPr bwMode="auto">
                    <a:xfrm>
                      <a:off x="0" y="0"/>
                      <a:ext cx="2429499" cy="2096038"/>
                    </a:xfrm>
                    <a:prstGeom prst="rect">
                      <a:avLst/>
                    </a:prstGeom>
                    <a:noFill/>
                    <a:ln>
                      <a:noFill/>
                    </a:ln>
                    <a:extLst>
                      <a:ext uri="{53640926-AAD7-44D8-BBD7-CCE9431645EC}">
                        <a14:shadowObscured xmlns:a14="http://schemas.microsoft.com/office/drawing/2010/main"/>
                      </a:ext>
                    </a:extLst>
                  </pic:spPr>
                </pic:pic>
              </a:graphicData>
            </a:graphic>
          </wp:inline>
        </w:drawing>
      </w:r>
    </w:p>
    <w:p w14:paraId="450FEC4F" w14:textId="0F95FFB8" w:rsidR="00062E08" w:rsidRPr="00062E08" w:rsidRDefault="00062E08" w:rsidP="00062E08">
      <w:pPr>
        <w:pStyle w:val="BUbold"/>
      </w:pPr>
      <w:r>
        <w:t>JV_photo_SUPER_2000-3i_VF600_PR</w:t>
      </w:r>
    </w:p>
    <w:p w14:paraId="1F8A7162" w14:textId="1F631A29" w:rsidR="006C0C87" w:rsidRPr="00112E10" w:rsidRDefault="00112E10" w:rsidP="00C84D75">
      <w:pPr>
        <w:pStyle w:val="BUnormal"/>
      </w:pPr>
      <w:r>
        <w:t xml:space="preserve">Spécialement conçu pour le marché nord-américain : le finisseur SUPER 2000-3i de la Highway Class de </w:t>
      </w:r>
      <w:proofErr w:type="spellStart"/>
      <w:r>
        <w:t>Vögele</w:t>
      </w:r>
      <w:proofErr w:type="spellEnd"/>
      <w:r>
        <w:t xml:space="preserve"> équipé de la table de pose VF 600 à extensions montées devant la table.</w:t>
      </w:r>
    </w:p>
    <w:p w14:paraId="47324A88" w14:textId="77777777" w:rsidR="002611FE" w:rsidRPr="00112E10" w:rsidRDefault="002611FE" w:rsidP="002611FE">
      <w:pPr>
        <w:pStyle w:val="BUnormal"/>
      </w:pPr>
    </w:p>
    <w:p w14:paraId="29E92010" w14:textId="665F2F1D" w:rsidR="00BD25D1" w:rsidRDefault="00CF13F6" w:rsidP="00BD25D1">
      <w:pPr>
        <w:pStyle w:val="BUbold"/>
      </w:pPr>
      <w:r>
        <w:rPr>
          <w:noProof/>
        </w:rPr>
        <w:drawing>
          <wp:inline distT="0" distB="0" distL="0" distR="0" wp14:anchorId="6ACBE1EB" wp14:editId="75B74D5D">
            <wp:extent cx="2565276" cy="1448081"/>
            <wp:effectExtent l="0" t="0" r="698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9"/>
                    <a:stretch>
                      <a:fillRect/>
                    </a:stretch>
                  </pic:blipFill>
                  <pic:spPr bwMode="auto">
                    <a:xfrm>
                      <a:off x="0" y="0"/>
                      <a:ext cx="2565276" cy="1448081"/>
                    </a:xfrm>
                    <a:prstGeom prst="rect">
                      <a:avLst/>
                    </a:prstGeom>
                    <a:noFill/>
                    <a:ln>
                      <a:noFill/>
                    </a:ln>
                  </pic:spPr>
                </pic:pic>
              </a:graphicData>
            </a:graphic>
          </wp:inline>
        </w:drawing>
      </w:r>
    </w:p>
    <w:p w14:paraId="5294095B" w14:textId="50EB9ABF" w:rsidR="00CF13F6" w:rsidRPr="00CF13F6" w:rsidRDefault="00CF13F6" w:rsidP="00CF13F6">
      <w:pPr>
        <w:pStyle w:val="BUbold"/>
      </w:pPr>
      <w:r>
        <w:t>JV_photo_SUPER1800-3i_SprayJet_PR</w:t>
      </w:r>
    </w:p>
    <w:p w14:paraId="53E50445" w14:textId="328BA162" w:rsidR="00CF13F6" w:rsidRPr="00D948DF" w:rsidRDefault="00D948DF" w:rsidP="002611FE">
      <w:pPr>
        <w:pStyle w:val="BUnormal"/>
      </w:pPr>
      <w:r>
        <w:t>Conception de machine modulaire : le SUPER 1800-3i </w:t>
      </w:r>
      <w:proofErr w:type="spellStart"/>
      <w:r>
        <w:t>SprayJet</w:t>
      </w:r>
      <w:proofErr w:type="spellEnd"/>
      <w:r>
        <w:t xml:space="preserve"> de </w:t>
      </w:r>
      <w:proofErr w:type="spellStart"/>
      <w:r>
        <w:t>Vögele</w:t>
      </w:r>
      <w:proofErr w:type="spellEnd"/>
      <w:r>
        <w:t xml:space="preserve"> peut être utilisé comme finisseur à rampe intégrée ou comme finisseur standard et peut poser aussi bien des couches minces que des couches de roulement et de liaison conventionnelles.</w:t>
      </w:r>
    </w:p>
    <w:p w14:paraId="59938520" w14:textId="62254AEB" w:rsidR="00CF13F6" w:rsidRDefault="002523DF" w:rsidP="002611FE">
      <w:pPr>
        <w:pStyle w:val="BUnormal"/>
      </w:pPr>
      <w:r>
        <w:rPr>
          <w:noProof/>
        </w:rPr>
        <w:drawing>
          <wp:inline distT="0" distB="0" distL="0" distR="0" wp14:anchorId="22D6D188" wp14:editId="5FE7E33A">
            <wp:extent cx="1962150" cy="1724025"/>
            <wp:effectExtent l="0" t="0" r="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rotWithShape="1">
                    <a:blip r:embed="rId10"/>
                    <a:srcRect b="12136"/>
                    <a:stretch/>
                  </pic:blipFill>
                  <pic:spPr bwMode="auto">
                    <a:xfrm>
                      <a:off x="0" y="0"/>
                      <a:ext cx="1962211" cy="1724079"/>
                    </a:xfrm>
                    <a:prstGeom prst="rect">
                      <a:avLst/>
                    </a:prstGeom>
                    <a:noFill/>
                    <a:ln>
                      <a:noFill/>
                    </a:ln>
                    <a:extLst>
                      <a:ext uri="{53640926-AAD7-44D8-BBD7-CCE9431645EC}">
                        <a14:shadowObscured xmlns:a14="http://schemas.microsoft.com/office/drawing/2010/main"/>
                      </a:ext>
                    </a:extLst>
                  </pic:spPr>
                </pic:pic>
              </a:graphicData>
            </a:graphic>
          </wp:inline>
        </w:drawing>
      </w:r>
    </w:p>
    <w:p w14:paraId="388E53E9" w14:textId="794774D9" w:rsidR="00EE57B7" w:rsidRPr="003301C5" w:rsidRDefault="00EE57B7" w:rsidP="00EE57B7">
      <w:pPr>
        <w:pStyle w:val="BUbold"/>
      </w:pPr>
      <w:r>
        <w:t>JV_photo_SUPER700i_PR</w:t>
      </w:r>
    </w:p>
    <w:p w14:paraId="7BA87CEF" w14:textId="1DD2344F" w:rsidR="00EE57B7" w:rsidRPr="00696058" w:rsidRDefault="00696058" w:rsidP="00EE57B7">
      <w:pPr>
        <w:pStyle w:val="BUnormal"/>
      </w:pPr>
      <w:r>
        <w:t xml:space="preserve">Le plus petit finisseur de </w:t>
      </w:r>
      <w:proofErr w:type="spellStart"/>
      <w:r>
        <w:t>Vögele</w:t>
      </w:r>
      <w:proofErr w:type="spellEnd"/>
      <w:r>
        <w:t> : le SUPER 700i est extrêmement maniable et compact et peut réaliser des largeurs de pose entre 1 </w:t>
      </w:r>
      <w:proofErr w:type="spellStart"/>
      <w:r>
        <w:t>ft</w:t>
      </w:r>
      <w:proofErr w:type="spellEnd"/>
      <w:r>
        <w:t xml:space="preserve"> 8 in (0,5 m) et 10 </w:t>
      </w:r>
      <w:proofErr w:type="spellStart"/>
      <w:r>
        <w:t>ft</w:t>
      </w:r>
      <w:proofErr w:type="spellEnd"/>
      <w:r>
        <w:t xml:space="preserve"> 6 in (3,2 m).</w:t>
      </w:r>
    </w:p>
    <w:p w14:paraId="19BAE2F6" w14:textId="77777777" w:rsidR="00EE57B7" w:rsidRPr="00696058" w:rsidRDefault="00EE57B7" w:rsidP="00EE57B7">
      <w:pPr>
        <w:pStyle w:val="Note"/>
      </w:pPr>
    </w:p>
    <w:p w14:paraId="6F7FC9EB" w14:textId="397BB31F" w:rsidR="00BD25D1" w:rsidRPr="00696058" w:rsidRDefault="00BD25D1" w:rsidP="002611FE">
      <w:pPr>
        <w:pStyle w:val="BUnormal"/>
      </w:pPr>
      <w:r>
        <w:lastRenderedPageBreak/>
        <w:t xml:space="preserve"> </w:t>
      </w:r>
      <w:r>
        <w:br/>
      </w:r>
    </w:p>
    <w:p w14:paraId="04824B2F" w14:textId="1D2C88F5" w:rsidR="00F74540" w:rsidRPr="006C0C87" w:rsidRDefault="00E15EBE" w:rsidP="006C0C87">
      <w:pPr>
        <w:pStyle w:val="Note"/>
      </w:pPr>
      <w:r>
        <w:t xml:space="preserve">Remarque : Ces photos ne sont fournies qu'à titre d'aperçu. Pour vos publications, veuillez utiliser les photos en résolution 300 dpi qui peuvent être téléchargées sur les sites Internet du </w:t>
      </w:r>
      <w:proofErr w:type="spellStart"/>
      <w:r>
        <w:t>Wirtgen</w:t>
      </w:r>
      <w:proofErr w:type="spellEnd"/>
      <w:r>
        <w:t xml:space="preserve"> Group.</w:t>
      </w:r>
    </w:p>
    <w:p w14:paraId="55931FB8" w14:textId="77777777" w:rsidR="00E15EBE" w:rsidRDefault="00E15EBE" w:rsidP="00E15EBE">
      <w:pPr>
        <w:pStyle w:val="Absatzberschrift"/>
        <w:rPr>
          <w:iCs/>
        </w:rPr>
      </w:pPr>
      <w:r>
        <w:t>Pour des informations supplémentaires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t>
      </w:r>
      <w:proofErr w:type="spellStart"/>
      <w:r>
        <w:t>Wirtgen</w:t>
      </w:r>
      <w:proofErr w:type="spellEnd"/>
      <w:r>
        <w:t>-</w:t>
      </w:r>
      <w:proofErr w:type="spellStart"/>
      <w:r>
        <w:t>Straße</w:t>
      </w:r>
      <w:proofErr w:type="spellEnd"/>
      <w:r>
        <w:t xml:space="preserve"> 2</w:t>
      </w:r>
    </w:p>
    <w:p w14:paraId="1063A82F" w14:textId="77777777" w:rsidR="00E15EBE" w:rsidRDefault="00E15EBE" w:rsidP="00E15EBE">
      <w:pPr>
        <w:pStyle w:val="Fuzeile1"/>
      </w:pPr>
      <w:r>
        <w:t xml:space="preserve">53578 </w:t>
      </w:r>
      <w:proofErr w:type="spellStart"/>
      <w:r>
        <w:t>Windhagen</w:t>
      </w:r>
      <w:proofErr w:type="spellEnd"/>
    </w:p>
    <w:p w14:paraId="5A37CC2B" w14:textId="77777777" w:rsidR="00E15EBE" w:rsidRDefault="00E15EBE" w:rsidP="00E15EBE">
      <w:pPr>
        <w:pStyle w:val="Fuzeile1"/>
      </w:pPr>
      <w: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Téléphone : +49 (0) 2645 131 – 1966 </w:t>
      </w:r>
    </w:p>
    <w:p w14:paraId="65F4C38F" w14:textId="77777777" w:rsidR="00E15EBE" w:rsidRDefault="00E15EBE" w:rsidP="00E15EBE">
      <w:pPr>
        <w:pStyle w:val="Fuzeile1"/>
      </w:pPr>
      <w:r>
        <w:t>Téléfax : +49 (0) 2645 131 – 499</w:t>
      </w:r>
    </w:p>
    <w:p w14:paraId="79FF3B7C" w14:textId="0C549577" w:rsidR="00E15EBE" w:rsidRDefault="00E15EBE" w:rsidP="00E15EBE">
      <w:pPr>
        <w:pStyle w:val="Fuzeile1"/>
      </w:pPr>
      <w:proofErr w:type="gramStart"/>
      <w:r>
        <w:t>E-mail</w:t>
      </w:r>
      <w:proofErr w:type="gramEnd"/>
      <w:r>
        <w:t> : PR@wirtgen-group.com</w:t>
      </w:r>
      <w:r>
        <w:rPr>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t>www.wirtgen-group.com</w:t>
      </w: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49457" w14:textId="77777777" w:rsidR="00421DCA" w:rsidRDefault="00421DCA" w:rsidP="00E55534">
      <w:r>
        <w:separator/>
      </w:r>
    </w:p>
  </w:endnote>
  <w:endnote w:type="continuationSeparator" w:id="0">
    <w:p w14:paraId="6A4F7924" w14:textId="77777777" w:rsidR="00421DCA" w:rsidRDefault="00421DC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t>
          </w:r>
          <w:proofErr w:type="spellStart"/>
          <w:r>
            <w:t>Wirtgen</w:t>
          </w:r>
          <w:proofErr w:type="spellEnd"/>
          <w:r>
            <w:t>-</w:t>
          </w:r>
          <w:proofErr w:type="spellStart"/>
          <w:r>
            <w:t>Str</w:t>
          </w:r>
          <w:proofErr w:type="spellEnd"/>
          <w:r>
            <w:t xml:space="preserve">. 2 · D-53578 </w:t>
          </w:r>
          <w:proofErr w:type="spellStart"/>
          <w:r>
            <w:t>Windhagen</w:t>
          </w:r>
          <w:proofErr w:type="spellEnd"/>
          <w:r>
            <w:t xml:space="preserve"> · T :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96F657" w14:textId="77777777" w:rsidR="00421DCA" w:rsidRDefault="00421DCA" w:rsidP="00E55534">
      <w:r>
        <w:separator/>
      </w:r>
    </w:p>
  </w:footnote>
  <w:footnote w:type="continuationSeparator" w:id="0">
    <w:p w14:paraId="3921005A" w14:textId="77777777" w:rsidR="00421DCA" w:rsidRDefault="00421DC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6220D17F" w:rsidR="00D0338B" w:rsidRDefault="00987294">
    <w:pPr>
      <w:pStyle w:val="Kopfzeile"/>
    </w:pPr>
    <w:r>
      <w:rPr>
        <w:noProof/>
      </w:rPr>
      <mc:AlternateContent>
        <mc:Choice Requires="wps">
          <w:drawing>
            <wp:anchor distT="0" distB="0" distL="0" distR="0" simplePos="0" relativeHeight="251665408" behindDoc="0" locked="0" layoutInCell="1" allowOverlap="1" wp14:anchorId="2011F2DE" wp14:editId="5EF1C722">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C11A79B" w14:textId="2C57D88D"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011F2DE"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EqbTP4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5C11A79B" w14:textId="2C57D88D"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v:textbox>
              <w10:wrap type="square" anchorx="margin"/>
            </v:shape>
          </w:pict>
        </mc:Fallback>
      </mc:AlternateContent>
    </w:r>
    <w:r w:rsidR="00D0338B">
      <w:rPr>
        <w:noProof/>
      </w:rPr>
      <mc:AlternateContent>
        <mc:Choice Requires="wps">
          <w:drawing>
            <wp:anchor distT="0" distB="0" distL="0" distR="0" simplePos="0" relativeHeight="251662336" behindDoc="0" locked="0" layoutInCell="1" allowOverlap="1" wp14:anchorId="59594B9F" wp14:editId="615C2E5C">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D9B645E" w14:textId="3D663D65" w:rsidR="00D0338B" w:rsidRPr="00D0338B" w:rsidRDefault="00D0338B">
                          <w:pPr>
                            <w:rPr>
                              <w:rFonts w:ascii="Calibri" w:eastAsia="Calibri" w:hAnsi="Calibri" w:cs="Calibri"/>
                              <w:color w:val="FF0000"/>
                              <w:sz w:val="20"/>
                              <w:szCs w:val="20"/>
                            </w:rPr>
                          </w:pPr>
                          <w:r>
                            <w:rPr>
                              <w:rFonts w:ascii="Calibri" w:hAnsi="Calibri"/>
                              <w:color w:val="FF0000"/>
                              <w:sz w:val="20"/>
                            </w:rPr>
                            <w:t>Confidentiel, sans informations personnelles</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9594B9F" id="_x0000_t202" coordsize="21600,21600" o:spt="202" path="m,l,21600r21600,l21600,xe">
              <v:stroke joinstyle="miter"/>
              <v:path gradientshapeok="t" o:connecttype="rect"/>
            </v:shapetype>
            <v:shape id="Textfeld 8"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" filled="f" stroked="f">
              <v:textbox style="mso-fit-shape-to-text:t" inset="0,0,15pt,0">
                <w:txbxContent>
                  <w:p w14:paraId="2D9B645E" w14:textId="3D663D65" w:rsidR="00D0338B" w:rsidRPr="00D0338B" w:rsidRDefault="00D0338B">
                    <w:pPr>
                      <w:rPr>
                        <w:color w:val="FF0000"/>
                        <w:sz w:val="20"/>
                        <w:szCs w:val="20"/>
                        <w:rFonts w:ascii="Calibri" w:eastAsia="Calibri" w:hAnsi="Calibri" w:cs="Calibri"/>
                      </w:rPr>
                    </w:pPr>
                    <w:r>
                      <w:rPr>
                        <w:color w:val="FF0000"/>
                        <w:sz w:val="20"/>
                        <w:rFonts w:ascii="Calibri" w:hAnsi="Calibri"/>
                      </w:rPr>
                      <w:t xml:space="preserve">Confidentiel, sans informations personnelles</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0ADD1E0" w:rsidR="00533132" w:rsidRPr="00533132" w:rsidRDefault="00111190" w:rsidP="00533132">
    <w:pPr>
      <w:pStyle w:val="Kopfzeile"/>
    </w:pPr>
    <w:r>
      <w:rPr>
        <w:noProof/>
      </w:rPr>
      <w:drawing>
        <wp:anchor distT="0" distB="0" distL="114300" distR="114300" simplePos="0" relativeHeight="251660288" behindDoc="1" locked="0" layoutInCell="1" allowOverlap="1" wp14:anchorId="6CC7FC4B" wp14:editId="1193DC8F">
          <wp:simplePos x="0" y="0"/>
          <wp:positionH relativeFrom="page">
            <wp:align>right</wp:align>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87294">
      <w:rPr>
        <w:noProof/>
      </w:rPr>
      <mc:AlternateContent>
        <mc:Choice Requires="wps">
          <w:drawing>
            <wp:anchor distT="0" distB="0" distL="0" distR="0" simplePos="0" relativeHeight="251666432" behindDoc="0" locked="0" layoutInCell="1" allowOverlap="1" wp14:anchorId="0434FE6A" wp14:editId="0D67FD97">
              <wp:simplePos x="758190" y="449580"/>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450170" w14:textId="6855096A"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434FE6A" id="_x0000_t202" coordsize="21600,21600" o:spt="202" path="m,l,21600r21600,l21600,xe">
              <v:stroke joinstyle="miter"/>
              <v:path gradientshapeok="t" o:connecttype="rect"/>
            </v:shapetype>
            <v:shape id="Textfeld 14" o:spid="_x0000_s1028" type="#_x0000_t202" alt="Public" style="position:absolute;margin-left:-16.25pt;margin-top:.05pt;width:34.95pt;height:34.95pt;z-index:25166643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LilnYwqAgAAUgQAAA4AAAAAAAAAAAAAAAAALgIAAGRycy9lMm9Eb2Mu&#10;eG1sUEsBAi0AFAAGAAgAAAAhABMN77DYAAAAAwEAAA8AAAAAAAAAAAAAAAAAhAQAAGRycy9kb3du&#10;cmV2LnhtbFBLBQYAAAAABAAEAPMAAACJBQAAAAA=&#10;" filled="f" stroked="f">
              <v:fill o:detectmouseclick="t"/>
              <v:textbox style="mso-fit-shape-to-text:t" inset="0,0,15pt,0">
                <w:txbxContent>
                  <w:p w14:paraId="6E450170" w14:textId="6855096A"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v:textbox>
              <w10:wrap type="square"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AA1D216" w:rsidR="00533132" w:rsidRDefault="00987294">
    <w:pPr>
      <w:pStyle w:val="Kopfzeile"/>
    </w:pPr>
    <w:r>
      <w:rPr>
        <w:noProof/>
      </w:rPr>
      <mc:AlternateContent>
        <mc:Choice Requires="wps">
          <w:drawing>
            <wp:anchor distT="0" distB="0" distL="0" distR="0" simplePos="0" relativeHeight="251664384" behindDoc="0" locked="0" layoutInCell="1" allowOverlap="1" wp14:anchorId="5D057719" wp14:editId="170159F9">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F20366E" w14:textId="21D4E963"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D057719" id="_x0000_t202" coordsize="21600,21600" o:spt="202" path="m,l,21600r21600,l21600,xe">
              <v:stroke joinstyle="miter"/>
              <v:path gradientshapeok="t" o:connecttype="rect"/>
            </v:shapetype>
            <v:shape id="Textfeld 1" o:spid="_x0000_s1029"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LlqNGonAgAAUAQAAA4AAAAAAAAAAAAAAAAALgIAAGRycy9lMm9Eb2MueG1s&#10;UEsBAi0AFAAGAAgAAAAhABMN77DYAAAAAwEAAA8AAAAAAAAAAAAAAAAAgQQAAGRycy9kb3ducmV2&#10;LnhtbFBLBQYAAAAABAAEAPMAAACGBQAAAAA=&#10;" filled="f" stroked="f">
              <v:fill o:detectmouseclick="t"/>
              <v:textbox style="mso-fit-shape-to-text:t" inset="0,0,15pt,0">
                <w:txbxContent>
                  <w:p w14:paraId="4F20366E" w14:textId="21D4E963" w:rsidR="00987294" w:rsidRPr="00987294" w:rsidRDefault="00987294">
                    <w:pPr>
                      <w:rPr>
                        <w:rFonts w:ascii="Calibri" w:eastAsia="Calibri" w:hAnsi="Calibri" w:cs="Calibri"/>
                        <w:color w:val="FF0000"/>
                        <w:sz w:val="20"/>
                        <w:szCs w:val="20"/>
                      </w:rPr>
                    </w:pPr>
                    <w:r w:rsidRPr="00987294">
                      <w:rPr>
                        <w:rFonts w:ascii="Calibri" w:eastAsia="Calibri" w:hAnsi="Calibri" w:cs="Calibri"/>
                        <w:color w:val="FF0000"/>
                        <w:sz w:val="20"/>
                        <w:szCs w:val="20"/>
                      </w:rPr>
                      <w:t>Public</w:t>
                    </w:r>
                  </w:p>
                </w:txbxContent>
              </v:textbox>
              <w10:wrap type="square" anchorx="margin"/>
            </v:shape>
          </w:pict>
        </mc:Fallback>
      </mc:AlternateContent>
    </w:r>
    <w:r w:rsidR="00D0338B">
      <w:rPr>
        <w:noProof/>
      </w:rPr>
      <mc:AlternateContent>
        <mc:Choice Requires="wps">
          <w:drawing>
            <wp:anchor distT="0" distB="0" distL="0" distR="0" simplePos="0" relativeHeight="251661312" behindDoc="0" locked="0" layoutInCell="1" allowOverlap="1" wp14:anchorId="60216343" wp14:editId="03C979C4">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AB4CE6D" w14:textId="75600668" w:rsidR="00D0338B" w:rsidRPr="00D0338B" w:rsidRDefault="00D0338B">
                          <w:pPr>
                            <w:rPr>
                              <w:rFonts w:ascii="Calibri" w:eastAsia="Calibri" w:hAnsi="Calibri" w:cs="Calibri"/>
                              <w:color w:val="FF0000"/>
                              <w:sz w:val="20"/>
                              <w:szCs w:val="20"/>
                            </w:rPr>
                          </w:pPr>
                          <w:r>
                            <w:rPr>
                              <w:rFonts w:ascii="Calibri" w:hAnsi="Calibri"/>
                              <w:color w:val="FF0000"/>
                              <w:sz w:val="20"/>
                            </w:rPr>
                            <w:t>Confidentiel, sans informations personnelles</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0216343" id="_x0000_t202" coordsize="21600,21600" o:spt="202" path="m,l,21600r21600,l21600,xe">
              <v:stroke joinstyle="miter"/>
              <v:path gradientshapeok="t" o:connecttype="rect"/>
            </v:shapetype>
            <v:shape id="Textfeld 7" o:spid="_x0000_s1028"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" filled="f" stroked="f">
              <v:textbox style="mso-fit-shape-to-text:t" inset="0,0,15pt,0">
                <w:txbxContent>
                  <w:p w14:paraId="2AB4CE6D" w14:textId="75600668" w:rsidR="00D0338B" w:rsidRPr="00D0338B" w:rsidRDefault="00D0338B">
                    <w:pPr>
                      <w:rPr>
                        <w:color w:val="FF0000"/>
                        <w:sz w:val="20"/>
                        <w:szCs w:val="20"/>
                        <w:rFonts w:ascii="Calibri" w:eastAsia="Calibri" w:hAnsi="Calibri" w:cs="Calibri"/>
                      </w:rPr>
                    </w:pPr>
                    <w:r>
                      <w:rPr>
                        <w:color w:val="FF0000"/>
                        <w:sz w:val="20"/>
                        <w:rFonts w:ascii="Calibri" w:hAnsi="Calibri"/>
                      </w:rPr>
                      <w:t xml:space="preserve">Confidentiel, sans informations personnelles</w:t>
                    </w:r>
                  </w:p>
                </w:txbxContent>
              </v:textbox>
              <w10:wrap type="square" anchorx="margin"/>
            </v:shape>
          </w:pict>
        </mc:Fallback>
      </mc:AlternateContent>
    </w:r>
    <w:r w:rsidR="00D0338B">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0338B">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338B">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9665C"/>
    <w:rsid w:val="000A0479"/>
    <w:rsid w:val="000A36D9"/>
    <w:rsid w:val="000A4C7D"/>
    <w:rsid w:val="000B582B"/>
    <w:rsid w:val="000B7076"/>
    <w:rsid w:val="000C03B5"/>
    <w:rsid w:val="000C3C35"/>
    <w:rsid w:val="000D15C3"/>
    <w:rsid w:val="000E24F8"/>
    <w:rsid w:val="000E5738"/>
    <w:rsid w:val="00103205"/>
    <w:rsid w:val="00111190"/>
    <w:rsid w:val="00112E10"/>
    <w:rsid w:val="0011795C"/>
    <w:rsid w:val="0012026F"/>
    <w:rsid w:val="00130601"/>
    <w:rsid w:val="00132055"/>
    <w:rsid w:val="00146C3D"/>
    <w:rsid w:val="00150A54"/>
    <w:rsid w:val="00153B47"/>
    <w:rsid w:val="001613A6"/>
    <w:rsid w:val="001614F0"/>
    <w:rsid w:val="001616F4"/>
    <w:rsid w:val="00161E86"/>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16CF6"/>
    <w:rsid w:val="002406CE"/>
    <w:rsid w:val="002523DF"/>
    <w:rsid w:val="00252AE8"/>
    <w:rsid w:val="002533EF"/>
    <w:rsid w:val="00253A2E"/>
    <w:rsid w:val="002603EC"/>
    <w:rsid w:val="002611FE"/>
    <w:rsid w:val="00282AFC"/>
    <w:rsid w:val="00286C15"/>
    <w:rsid w:val="00295585"/>
    <w:rsid w:val="0029634D"/>
    <w:rsid w:val="002C1708"/>
    <w:rsid w:val="002C7542"/>
    <w:rsid w:val="002D065C"/>
    <w:rsid w:val="002D0780"/>
    <w:rsid w:val="002D17D7"/>
    <w:rsid w:val="002D2EE5"/>
    <w:rsid w:val="002D63E6"/>
    <w:rsid w:val="002E765F"/>
    <w:rsid w:val="002E7E4E"/>
    <w:rsid w:val="002F0DA6"/>
    <w:rsid w:val="002F108B"/>
    <w:rsid w:val="002F5818"/>
    <w:rsid w:val="002F70FD"/>
    <w:rsid w:val="0030316D"/>
    <w:rsid w:val="0032774C"/>
    <w:rsid w:val="003301C5"/>
    <w:rsid w:val="00332D28"/>
    <w:rsid w:val="00334DF9"/>
    <w:rsid w:val="00341559"/>
    <w:rsid w:val="0034191A"/>
    <w:rsid w:val="00343CC7"/>
    <w:rsid w:val="0036561D"/>
    <w:rsid w:val="003665BE"/>
    <w:rsid w:val="00373266"/>
    <w:rsid w:val="00384A08"/>
    <w:rsid w:val="00387E6F"/>
    <w:rsid w:val="003967E5"/>
    <w:rsid w:val="003A753A"/>
    <w:rsid w:val="003B3803"/>
    <w:rsid w:val="003B780C"/>
    <w:rsid w:val="003C1946"/>
    <w:rsid w:val="003C1CE5"/>
    <w:rsid w:val="003C2A71"/>
    <w:rsid w:val="003D39C2"/>
    <w:rsid w:val="003E16A8"/>
    <w:rsid w:val="003E1CB6"/>
    <w:rsid w:val="003E3CF6"/>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7F3C"/>
    <w:rsid w:val="0047498D"/>
    <w:rsid w:val="00476100"/>
    <w:rsid w:val="004771C9"/>
    <w:rsid w:val="00481754"/>
    <w:rsid w:val="00487BFC"/>
    <w:rsid w:val="00492361"/>
    <w:rsid w:val="004A2102"/>
    <w:rsid w:val="004A463B"/>
    <w:rsid w:val="004C1967"/>
    <w:rsid w:val="004C48A2"/>
    <w:rsid w:val="004D23D0"/>
    <w:rsid w:val="004D2BE0"/>
    <w:rsid w:val="004D565E"/>
    <w:rsid w:val="004E6EF5"/>
    <w:rsid w:val="004F55C6"/>
    <w:rsid w:val="00506409"/>
    <w:rsid w:val="00530E32"/>
    <w:rsid w:val="00533132"/>
    <w:rsid w:val="00537210"/>
    <w:rsid w:val="00564930"/>
    <w:rsid w:val="005649F4"/>
    <w:rsid w:val="005710C8"/>
    <w:rsid w:val="005711A3"/>
    <w:rsid w:val="00571A5C"/>
    <w:rsid w:val="00573B2B"/>
    <w:rsid w:val="0057534A"/>
    <w:rsid w:val="005776E9"/>
    <w:rsid w:val="00587AD9"/>
    <w:rsid w:val="005909A8"/>
    <w:rsid w:val="005A342A"/>
    <w:rsid w:val="005A4F04"/>
    <w:rsid w:val="005B5793"/>
    <w:rsid w:val="005C6B30"/>
    <w:rsid w:val="005C71EC"/>
    <w:rsid w:val="005E764C"/>
    <w:rsid w:val="005E7E55"/>
    <w:rsid w:val="005E7F7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30F4"/>
    <w:rsid w:val="00696058"/>
    <w:rsid w:val="006A3255"/>
    <w:rsid w:val="006B3EEC"/>
    <w:rsid w:val="006C0C87"/>
    <w:rsid w:val="006D278B"/>
    <w:rsid w:val="006D61D8"/>
    <w:rsid w:val="006D6CC6"/>
    <w:rsid w:val="006D7EAC"/>
    <w:rsid w:val="006E0104"/>
    <w:rsid w:val="006F086A"/>
    <w:rsid w:val="006F0E8E"/>
    <w:rsid w:val="006F3F08"/>
    <w:rsid w:val="006F7602"/>
    <w:rsid w:val="00722A17"/>
    <w:rsid w:val="00723F4F"/>
    <w:rsid w:val="00730D99"/>
    <w:rsid w:val="00754B80"/>
    <w:rsid w:val="00755AE0"/>
    <w:rsid w:val="0075761B"/>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E72"/>
    <w:rsid w:val="00836A5D"/>
    <w:rsid w:val="008427F2"/>
    <w:rsid w:val="00843B45"/>
    <w:rsid w:val="0084571C"/>
    <w:rsid w:val="008479FF"/>
    <w:rsid w:val="0085367C"/>
    <w:rsid w:val="00863129"/>
    <w:rsid w:val="008660BB"/>
    <w:rsid w:val="00866830"/>
    <w:rsid w:val="00870ACE"/>
    <w:rsid w:val="0087110E"/>
    <w:rsid w:val="00873125"/>
    <w:rsid w:val="008755E5"/>
    <w:rsid w:val="00880995"/>
    <w:rsid w:val="00881E44"/>
    <w:rsid w:val="00892F6F"/>
    <w:rsid w:val="00896F7E"/>
    <w:rsid w:val="008B4CAA"/>
    <w:rsid w:val="008C2A29"/>
    <w:rsid w:val="008C2DB2"/>
    <w:rsid w:val="008C43D3"/>
    <w:rsid w:val="008C70FD"/>
    <w:rsid w:val="008D09E0"/>
    <w:rsid w:val="008D24B1"/>
    <w:rsid w:val="008D2B87"/>
    <w:rsid w:val="008D770E"/>
    <w:rsid w:val="008E2FBF"/>
    <w:rsid w:val="008E6F58"/>
    <w:rsid w:val="009008AE"/>
    <w:rsid w:val="0090337E"/>
    <w:rsid w:val="009049D8"/>
    <w:rsid w:val="00910609"/>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87294"/>
    <w:rsid w:val="009A3FCB"/>
    <w:rsid w:val="009B17A9"/>
    <w:rsid w:val="009B211F"/>
    <w:rsid w:val="009B7C05"/>
    <w:rsid w:val="009C2378"/>
    <w:rsid w:val="009C5A77"/>
    <w:rsid w:val="009C5D99"/>
    <w:rsid w:val="009D016F"/>
    <w:rsid w:val="009D2BDA"/>
    <w:rsid w:val="009D5137"/>
    <w:rsid w:val="009D51E4"/>
    <w:rsid w:val="009E23A4"/>
    <w:rsid w:val="009E251D"/>
    <w:rsid w:val="009F10A8"/>
    <w:rsid w:val="009F715C"/>
    <w:rsid w:val="00A00D36"/>
    <w:rsid w:val="00A02F49"/>
    <w:rsid w:val="00A12FEE"/>
    <w:rsid w:val="00A171F4"/>
    <w:rsid w:val="00A1772D"/>
    <w:rsid w:val="00A177B2"/>
    <w:rsid w:val="00A24EFC"/>
    <w:rsid w:val="00A255BE"/>
    <w:rsid w:val="00A27829"/>
    <w:rsid w:val="00A362E4"/>
    <w:rsid w:val="00A408C8"/>
    <w:rsid w:val="00A46F1E"/>
    <w:rsid w:val="00A551A0"/>
    <w:rsid w:val="00A66B3F"/>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12518"/>
    <w:rsid w:val="00B14455"/>
    <w:rsid w:val="00B2736F"/>
    <w:rsid w:val="00B3188B"/>
    <w:rsid w:val="00B341F8"/>
    <w:rsid w:val="00B5232A"/>
    <w:rsid w:val="00B60ED1"/>
    <w:rsid w:val="00B62CF5"/>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F95"/>
    <w:rsid w:val="00C136DF"/>
    <w:rsid w:val="00C17501"/>
    <w:rsid w:val="00C33179"/>
    <w:rsid w:val="00C33359"/>
    <w:rsid w:val="00C40627"/>
    <w:rsid w:val="00C43EAF"/>
    <w:rsid w:val="00C457C3"/>
    <w:rsid w:val="00C45AE5"/>
    <w:rsid w:val="00C464B2"/>
    <w:rsid w:val="00C644CA"/>
    <w:rsid w:val="00C658FC"/>
    <w:rsid w:val="00C73005"/>
    <w:rsid w:val="00C75ED8"/>
    <w:rsid w:val="00C82FA1"/>
    <w:rsid w:val="00C84D75"/>
    <w:rsid w:val="00C85E18"/>
    <w:rsid w:val="00C96E9F"/>
    <w:rsid w:val="00CA4A09"/>
    <w:rsid w:val="00CB71DD"/>
    <w:rsid w:val="00CC5A63"/>
    <w:rsid w:val="00CC787C"/>
    <w:rsid w:val="00CE3713"/>
    <w:rsid w:val="00CF13F6"/>
    <w:rsid w:val="00CF36C9"/>
    <w:rsid w:val="00D00EC4"/>
    <w:rsid w:val="00D0338B"/>
    <w:rsid w:val="00D166AC"/>
    <w:rsid w:val="00D36BA2"/>
    <w:rsid w:val="00D3716A"/>
    <w:rsid w:val="00D37CF4"/>
    <w:rsid w:val="00D4487C"/>
    <w:rsid w:val="00D63D33"/>
    <w:rsid w:val="00D65D1E"/>
    <w:rsid w:val="00D73352"/>
    <w:rsid w:val="00D777DE"/>
    <w:rsid w:val="00D935C3"/>
    <w:rsid w:val="00D948DF"/>
    <w:rsid w:val="00DA0266"/>
    <w:rsid w:val="00DA477E"/>
    <w:rsid w:val="00DB4BB0"/>
    <w:rsid w:val="00DD1D6E"/>
    <w:rsid w:val="00DE461D"/>
    <w:rsid w:val="00E04039"/>
    <w:rsid w:val="00E14608"/>
    <w:rsid w:val="00E15EBE"/>
    <w:rsid w:val="00E21E67"/>
    <w:rsid w:val="00E30EBF"/>
    <w:rsid w:val="00E31587"/>
    <w:rsid w:val="00E316C0"/>
    <w:rsid w:val="00E31E03"/>
    <w:rsid w:val="00E451CD"/>
    <w:rsid w:val="00E51170"/>
    <w:rsid w:val="00E52D70"/>
    <w:rsid w:val="00E55534"/>
    <w:rsid w:val="00E55F2D"/>
    <w:rsid w:val="00E7116D"/>
    <w:rsid w:val="00E72429"/>
    <w:rsid w:val="00E730D3"/>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CDF"/>
    <w:rsid w:val="00F56318"/>
    <w:rsid w:val="00F647BC"/>
    <w:rsid w:val="00F67C95"/>
    <w:rsid w:val="00F71051"/>
    <w:rsid w:val="00F74540"/>
    <w:rsid w:val="00F75B79"/>
    <w:rsid w:val="00F82525"/>
    <w:rsid w:val="00F91AC4"/>
    <w:rsid w:val="00F96682"/>
    <w:rsid w:val="00F97FEA"/>
    <w:rsid w:val="00FB60E1"/>
    <w:rsid w:val="00FC5EE0"/>
    <w:rsid w:val="00FD051A"/>
    <w:rsid w:val="00FD2FF9"/>
    <w:rsid w:val="00FD3768"/>
    <w:rsid w:val="00FD51E9"/>
    <w:rsid w:val="00FD5A83"/>
    <w:rsid w:val="00FD7F37"/>
    <w:rsid w:val="00FE510D"/>
    <w:rsid w:val="00FE662B"/>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952</Words>
  <Characters>5999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6938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18</cp:revision>
  <cp:lastPrinted>2021-10-28T15:19:00Z</cp:lastPrinted>
  <dcterms:created xsi:type="dcterms:W3CDTF">2022-02-23T07:04:00Z</dcterms:created>
  <dcterms:modified xsi:type="dcterms:W3CDTF">2022-03-22T07:39:00Z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2022-03-22T07:38:05Z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e768f5d1-acb0-4134-a047-11e0695bac70</vt:lpwstr>
  </property>
  <property fmtid="{D5CDD505-2E9C-101B-9397-08002B2CF9AE}" pid="11" name="MSIP_Label_df1a195f-122b-42dc-a2d3-71a1903dcdac_ContentBits">
    <vt:lpwstr>1</vt:lpwstr>
  </property>
</Properties>
</file>