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045A35F5" w:rsidR="00A850B7" w:rsidRPr="00EF6716" w:rsidRDefault="00C95DAB" w:rsidP="00A27829">
      <w:pPr>
        <w:pStyle w:val="Head"/>
      </w:pPr>
      <w:r w:rsidRPr="00EF6716">
        <w:t>Wirtgen F sērijas kompaktās frēz</w:t>
      </w:r>
      <w:r w:rsidR="00D13048" w:rsidRPr="00EF6716">
        <w:t>e</w:t>
      </w:r>
      <w:r w:rsidRPr="00EF6716">
        <w:t>s rentablai un ilgtspējīgai aukstajai frēzēšanai</w:t>
      </w:r>
    </w:p>
    <w:p w14:paraId="0FDC59C8" w14:textId="77777777" w:rsidR="00A850B7" w:rsidRPr="00EF6716" w:rsidRDefault="00A850B7" w:rsidP="00A27829">
      <w:pPr>
        <w:pStyle w:val="Head"/>
        <w:rPr>
          <w:sz w:val="22"/>
          <w:szCs w:val="22"/>
        </w:rPr>
      </w:pPr>
    </w:p>
    <w:p w14:paraId="6B43972B" w14:textId="18A1C52B" w:rsidR="00A27829" w:rsidRPr="00EF6716" w:rsidRDefault="00B2594F" w:rsidP="00A27829">
      <w:pPr>
        <w:pStyle w:val="Head"/>
      </w:pPr>
      <w:r w:rsidRPr="00EF6716">
        <w:rPr>
          <w:sz w:val="28"/>
        </w:rPr>
        <w:t>Izstādē "Bauma 2022” modelis W 100 Fi tiek prezentēts kā jaunās mašīnu paaudzes līderis.</w:t>
      </w:r>
    </w:p>
    <w:p w14:paraId="193790FB" w14:textId="65EC5AE0" w:rsidR="00A46F1E" w:rsidRPr="00EF6716" w:rsidRDefault="00C95DAB" w:rsidP="00881E44">
      <w:pPr>
        <w:pStyle w:val="Teaser"/>
      </w:pPr>
      <w:r w:rsidRPr="00EF6716">
        <w:t>Šā gada sākumā WIRTGEN atzīmēja savas pilnībā pārveidotās kompakto frē</w:t>
      </w:r>
      <w:r w:rsidR="00D13048" w:rsidRPr="00EF6716">
        <w:t>ž</w:t>
      </w:r>
      <w:r w:rsidRPr="00EF6716">
        <w:t>u paaudzes ieviešanu tirgū. Nozares vadošās jaunākās tehnoloģijas no pārbaudītajām F sērijas lielajām frēz</w:t>
      </w:r>
      <w:r w:rsidR="00D13048" w:rsidRPr="00EF6716">
        <w:t>ēm</w:t>
      </w:r>
      <w:r w:rsidRPr="00EF6716">
        <w:t xml:space="preserve"> tagad ir integrētas W 100 Fi, W 120 Fi un W 130 Fi kompaktajās frēz</w:t>
      </w:r>
      <w:r w:rsidR="00D13048" w:rsidRPr="00EF6716">
        <w:t>ēs</w:t>
      </w:r>
      <w:r w:rsidRPr="00EF6716">
        <w:t xml:space="preserve">. WIRTGEN izstādē “Bauma 2022” prezentēs vēl vienu inovāciju -  pirmo reizi kompaktās klases mašīnas ir aprīkotas ar ērtu kabīni. Tas palielina ne tikai mašīnu operatoru drošību, bet arī darba vietas komfortu. </w:t>
      </w:r>
    </w:p>
    <w:p w14:paraId="03C1B33F" w14:textId="25B68768" w:rsidR="00A46F1E" w:rsidRPr="00EF6716" w:rsidRDefault="00461C81" w:rsidP="002611FE">
      <w:pPr>
        <w:pStyle w:val="Absatzberschrift"/>
      </w:pPr>
      <w:r w:rsidRPr="00EF6716">
        <w:t>Pirmā WIRTGEN aukstās frēzēšanas iekārta ar videi draudzīgu dzinēja tehnoloģiju no John Deere.</w:t>
      </w:r>
    </w:p>
    <w:p w14:paraId="52DA6F16" w14:textId="509E7944" w:rsidR="005E3ECC" w:rsidRPr="00EF6716" w:rsidRDefault="002954CA" w:rsidP="005E3ECC">
      <w:pPr>
        <w:autoSpaceDE w:val="0"/>
        <w:autoSpaceDN w:val="0"/>
        <w:adjustRightInd w:val="0"/>
        <w:spacing w:after="220"/>
        <w:jc w:val="both"/>
        <w:textAlignment w:val="center"/>
        <w:rPr>
          <w:bCs/>
          <w:sz w:val="22"/>
          <w:szCs w:val="22"/>
        </w:rPr>
      </w:pPr>
      <w:r w:rsidRPr="00EF6716">
        <w:rPr>
          <w:sz w:val="22"/>
        </w:rPr>
        <w:t xml:space="preserve">Priekšējie iekrāvēji ar darba platumu 1,0 m, 1,2 m un 1,3 m ir aprīkoti ar jaunāko un pašreiz videi draudzīgāko dzinēja tehnoloģiju, kas atbilst ES 5. posma / ASV 4. līmeņa galīgās izplūdes emisijas standartiem. Modernā dīzeļdzinēja nominālā jauda ir 265 kW / 355 ZS. Wirtgen un John Deere ir precīzi noregulējuši dzinējam raksturīgo griezes momentu, lai tas atbilstu aukstās frēzēšanas procesa specifiskajām vajadzībām. </w:t>
      </w:r>
      <w:r w:rsidRPr="00EF6716">
        <w:rPr>
          <w:sz w:val="22"/>
          <w:szCs w:val="22"/>
        </w:rPr>
        <w:t xml:space="preserve">Dzinējs nodrošina pietiekamu griezes momentu jau pie 1200 apgriezieniem minūtē, maksimālo griezes momentu sasniedz pie 1500 apgriezieniem minūtē </w:t>
      </w:r>
      <w:bookmarkStart w:id="0" w:name="_Hlk96344717"/>
      <w:bookmarkEnd w:id="0"/>
      <w:r w:rsidRPr="00EF6716">
        <w:rPr>
          <w:sz w:val="22"/>
          <w:szCs w:val="22"/>
        </w:rPr>
        <w:t xml:space="preserve"> un piedāvā ļoti plašu darba apgriezienu diapazonu no 1200 līdz 2100 apgriezieniem minūtē.</w:t>
      </w:r>
      <w:r w:rsidRPr="00EF6716">
        <w:rPr>
          <w:sz w:val="22"/>
        </w:rPr>
        <w:t xml:space="preserve">  Rezultātā mašīnas patērē ievērojami mazāk degvielas, pat nodrošinot visaugstāko produktivitāti un frēzējot līdz maksimālajam dziļumam 330 mm.</w:t>
      </w:r>
    </w:p>
    <w:p w14:paraId="20E48220" w14:textId="77777777" w:rsidR="005E3ECC" w:rsidRPr="00EF6716" w:rsidRDefault="005E3ECC" w:rsidP="005E3ECC">
      <w:pPr>
        <w:pStyle w:val="Absatzberschrift"/>
      </w:pPr>
      <w:r w:rsidRPr="00EF6716">
        <w:t>“Mill Assist” un WPT viena metra klases iekārtām</w:t>
      </w:r>
    </w:p>
    <w:p w14:paraId="52FCEE11" w14:textId="605EE097" w:rsidR="002954CA" w:rsidRPr="00EF6716" w:rsidRDefault="002954CA" w:rsidP="00057F82">
      <w:pPr>
        <w:pStyle w:val="Standardabsatz"/>
      </w:pPr>
      <w:r w:rsidRPr="00EF6716">
        <w:t>Mašīnā ir arī digitālās palīgsistēmas - "Mill Assist", Wirtgen veiktspējas izsekotājs (WPT) un "Level Pro Active" nivelēšanas sistēma. Šīs sistēmas jau ir skaidri pierādījušas savu potenciālu F sērijas lielajās frēzmašīnās. Tagad klienti no kompakto frē</w:t>
      </w:r>
      <w:r w:rsidR="00A2100D" w:rsidRPr="00EF6716">
        <w:t>žu</w:t>
      </w:r>
      <w:r w:rsidRPr="00EF6716">
        <w:t xml:space="preserve"> klases var sagaidīt augstas frēzēšanas veiktspējas, efektivitātes un skaidras dokumentācijas priekšrocības.</w:t>
      </w:r>
    </w:p>
    <w:p w14:paraId="4C45ECE0" w14:textId="5C5DA571" w:rsidR="002954CA" w:rsidRPr="00EF6716" w:rsidRDefault="00D715E2" w:rsidP="002954CA">
      <w:pPr>
        <w:pStyle w:val="Absatzberschrift"/>
      </w:pPr>
      <w:r w:rsidRPr="00EF6716">
        <w:t>“Mill Assist” frēzēšanas efektivitātes paaugstināšanai</w:t>
      </w:r>
      <w:r w:rsidRPr="00EF6716">
        <w:rPr>
          <w:color w:val="000000"/>
        </w:rPr>
        <w:t xml:space="preserve"> </w:t>
      </w:r>
    </w:p>
    <w:p w14:paraId="2D0C3B57" w14:textId="1657582C" w:rsidR="00057F82" w:rsidRPr="00EF6716" w:rsidRDefault="002954CA" w:rsidP="00057F82">
      <w:pPr>
        <w:pStyle w:val="Text"/>
        <w:spacing w:after="220" w:line="240" w:lineRule="auto"/>
        <w:rPr>
          <w:rFonts w:eastAsiaTheme="minorHAnsi" w:cs="AvenirNext LT Pro Regular"/>
          <w:szCs w:val="22"/>
        </w:rPr>
      </w:pPr>
      <w:r w:rsidRPr="00EF6716">
        <w:t>Automātiskajā režīmā “Mill Assist” izvēlas darbības stratēģiju ar vislabvēlīgāko līdzsvaru starp frēzēšanas veiktspēju un ekspluatācijas izmaksām. Tas palielina frēzēšanas veiktspēju un vienlaikus samazina degvielas, ūdens un griežņu patēriņu, kā arī CO</w:t>
      </w:r>
      <w:r w:rsidRPr="00EF6716">
        <w:rPr>
          <w:vertAlign w:val="subscript"/>
        </w:rPr>
        <w:t>2</w:t>
      </w:r>
      <w:r w:rsidRPr="00EF6716">
        <w:t xml:space="preserve"> emisijas. </w:t>
      </w:r>
    </w:p>
    <w:p w14:paraId="7C2AD650" w14:textId="036A7B2E" w:rsidR="00FB45A9" w:rsidRPr="00EF6716" w:rsidRDefault="00FB45A9" w:rsidP="00FB45A9">
      <w:pPr>
        <w:pStyle w:val="Text"/>
        <w:spacing w:line="240" w:lineRule="auto"/>
        <w:rPr>
          <w:noProof/>
        </w:rPr>
      </w:pPr>
      <w:r w:rsidRPr="00EF6716">
        <w:t>“Mill Assist” automātiski kontrolē dzinēja apgriezienus un vienlaikus nodrošina plašu izmantojamo frēzēšanas cilindra apgriezienu diapazonu visdažādākajiem lietojumiem. Zemais ātruma diapazons ļauj ievērojami samazināt degvielas patēriņu un līdz minimumam samazināt griežņu nodilumu. Augstais ātruma diapazons nodrošina optimālu frēzēšanas struktūru pat tad, ja ir augstāki laukuma veiktspējas rādītāji.</w:t>
      </w:r>
    </w:p>
    <w:p w14:paraId="097DADDE" w14:textId="77777777" w:rsidR="00EF6716" w:rsidRDefault="00EF6716">
      <w:pPr>
        <w:rPr>
          <w:sz w:val="22"/>
        </w:rPr>
      </w:pPr>
      <w:r>
        <w:br w:type="page"/>
      </w:r>
    </w:p>
    <w:p w14:paraId="4B5659B9" w14:textId="09652D0B" w:rsidR="00461C81" w:rsidRPr="00EF6716" w:rsidRDefault="002954CA" w:rsidP="00FB45A9">
      <w:pPr>
        <w:pStyle w:val="Text"/>
        <w:spacing w:line="240" w:lineRule="auto"/>
      </w:pPr>
      <w:r w:rsidRPr="00EF6716">
        <w:lastRenderedPageBreak/>
        <w:t>Katram frēzēšanas darbam operators papildus var iepriekš izvēlēties vienu no trim darbības stratēģijām: “ECO”, “optimizēta veiktspēja” vai “frēzēšanas struktūras kvalitāte”. Piemēram, ir iespējams iepriekš noteikt nepieciešamo frēzēšanas struktūras kvalitāti skalā no rupja līdz ļoti smalkam, vienkārši nospiežot pogu.</w:t>
      </w:r>
    </w:p>
    <w:p w14:paraId="471B528D" w14:textId="77777777" w:rsidR="000244FD" w:rsidRPr="00EF6716" w:rsidRDefault="000244FD" w:rsidP="00FB45A9">
      <w:pPr>
        <w:pStyle w:val="Text"/>
        <w:spacing w:line="240" w:lineRule="auto"/>
        <w:rPr>
          <w:rFonts w:cstheme="minorBidi"/>
          <w:b/>
          <w:szCs w:val="22"/>
        </w:rPr>
      </w:pPr>
    </w:p>
    <w:p w14:paraId="69F49D88" w14:textId="6D6CD2D0" w:rsidR="00BD25D1" w:rsidRPr="00EF6716" w:rsidRDefault="00461C81" w:rsidP="00754B80">
      <w:pPr>
        <w:pStyle w:val="Absatzberschrift"/>
      </w:pPr>
      <w:r w:rsidRPr="00EF6716">
        <w:rPr>
          <w:color w:val="000000"/>
        </w:rPr>
        <w:t>Plašs pielietojumu klāsts un maksimāla elastība</w:t>
      </w:r>
    </w:p>
    <w:p w14:paraId="2F9609CD" w14:textId="12DC1B21" w:rsidR="00FB45A9" w:rsidRPr="00EF6716" w:rsidRDefault="00C95DAB" w:rsidP="00FB45A9">
      <w:pPr>
        <w:pStyle w:val="Standardabsatz"/>
      </w:pPr>
      <w:r w:rsidRPr="00EF6716">
        <w:t>Kompaktie izmēri un optimizētais mašīnas svars vieglai transportēšanai dod iespēju šīs mašīnas izmantot dažādiem darbiem būvlaukumā. Neatkarīgi no tā, vai būvē automaģistrāles, galvenos ceļus, autostāvvietas vai iekšpilsētu objektus - šīs augstas veiktspējas mašīnas ir ideāli piemērotas visdažādākajiem pielietojumiem. Pateicoties to augstajai produktivitātei, tās ir ideāli piemērotas virsmas slāņa atjaunošanai un pilnīgai seguma noņemšanai jebkura izmēra būvlaukumos. Pateicoties iespējai ātri nomainīt FCS frēzēšanas cilindrus ar dažādiem griežņu atstatumiem un darba platumiem, Wirtgen kompaktās frēz</w:t>
      </w:r>
      <w:r w:rsidR="00A2100D" w:rsidRPr="00EF6716">
        <w:t>e</w:t>
      </w:r>
      <w:r w:rsidRPr="00EF6716">
        <w:t>s var ātri pārkonfigurēt arī uz vietas, lai pielāgotos mainīgajiem pielietojumiem.</w:t>
      </w:r>
    </w:p>
    <w:p w14:paraId="025481FC" w14:textId="77777777" w:rsidR="00FB45A9" w:rsidRPr="00EF6716" w:rsidRDefault="00FB45A9" w:rsidP="00FB45A9">
      <w:pPr>
        <w:pStyle w:val="Standardabsatz"/>
        <w:spacing w:after="0"/>
        <w:rPr>
          <w:b/>
          <w:bCs/>
        </w:rPr>
      </w:pPr>
      <w:r w:rsidRPr="00EF6716">
        <w:rPr>
          <w:b/>
        </w:rPr>
        <w:t>Precīza nivelēšana ar LEVEL PRO ACTIVE</w:t>
      </w:r>
    </w:p>
    <w:p w14:paraId="491694BA" w14:textId="51487088" w:rsidR="00FB45A9" w:rsidRPr="00EF6716" w:rsidRDefault="00FB45A9" w:rsidP="00FB45A9">
      <w:pPr>
        <w:pStyle w:val="Standardabsatz"/>
        <w:spacing w:after="0"/>
      </w:pPr>
      <w:r w:rsidRPr="00EF6716">
        <w:t>LEVEL PRO ACTIVE nivelēšanas sistēma, kas jau ir pārbaudīta F sērijas lielajās frēzmašīnās, tagad ir pieejama arī kompaktās klases frēz</w:t>
      </w:r>
      <w:r w:rsidR="00A2100D" w:rsidRPr="00EF6716">
        <w:t>ēm</w:t>
      </w:r>
      <w:r w:rsidRPr="00EF6716">
        <w:t>. Īpaši aukstās frēzēšanas mašīnām izstrādātā Wirtgen nivelēšanas sistēma ir aprīkota ar informatīviem vadības paneļiem un ir intuitīvi un vienkārši lietojama. Visi pievienotie sensori un izmērītās vērtības ir skaidri redzamas vadības panelī, lai darba procesus padarītu pēc iespējas efektīvākus. Sistēma ir pilnībā integrēta aukstās frēzēšanas mašīnas vadības sistēmā, un, tā kā svarīgākās mašīnas funkcijas ir tieši savstarpēji savienotas, tā nodrošina augstu automatizācijas līmeni.</w:t>
      </w:r>
      <w:r w:rsidRPr="00EF6716">
        <w:rPr>
          <w:b/>
        </w:rPr>
        <w:t xml:space="preserve"> </w:t>
      </w:r>
      <w:r w:rsidRPr="00EF6716">
        <w:t>Sistēma piedāvā arī daudzas automātiskas un papildu funkcijas, kas atvieglo operatora darbu, piemēram, automātisku pacelšanu, lai pārbrauktu pāri lūku vākiem.</w:t>
      </w:r>
    </w:p>
    <w:p w14:paraId="10CE4C4A" w14:textId="77777777" w:rsidR="00FB45A9" w:rsidRPr="00EF6716" w:rsidRDefault="00FB45A9" w:rsidP="00FB45A9">
      <w:pPr>
        <w:pStyle w:val="Standardabsatz"/>
        <w:spacing w:after="0"/>
      </w:pPr>
    </w:p>
    <w:p w14:paraId="55696270" w14:textId="4AD6DAD5" w:rsidR="00BD25D1" w:rsidRPr="00EF6716" w:rsidRDefault="00C95DAB" w:rsidP="00754B80">
      <w:pPr>
        <w:pStyle w:val="Absatzberschrift"/>
      </w:pPr>
      <w:r w:rsidRPr="00EF6716">
        <w:t xml:space="preserve">Modernākā kabīne, kas pieejama arī noslēgta  </w:t>
      </w:r>
      <w:r w:rsidRPr="00EF6716">
        <w:rPr>
          <w:color w:val="000000"/>
        </w:rPr>
        <w:t xml:space="preserve"> </w:t>
      </w:r>
    </w:p>
    <w:p w14:paraId="53E9BB52" w14:textId="539B3D92" w:rsidR="00B669B9" w:rsidRPr="00EF6716" w:rsidRDefault="00C95DAB" w:rsidP="002F1BBF">
      <w:pPr>
        <w:pStyle w:val="Standardabsatz"/>
      </w:pPr>
      <w:r w:rsidRPr="00EF6716">
        <w:t xml:space="preserve">Pārveidotajai operatora kabīnei ir raksturīgi ergonomiski vadības elementi ar augstas kvalitātes haptiku un maksimāli ērtu vadību. Papildus mašīnas slaidajam “lapsenes” korpusam maksimāli piecas transportlīdzeklī iebūvētās kameras nodrošina ideālu skatu uz visām svarīgākajām darba zonām. </w:t>
      </w:r>
      <w:r w:rsidRPr="00EF6716">
        <w:rPr>
          <w:color w:val="000000" w:themeColor="text1"/>
        </w:rPr>
        <w:t xml:space="preserve">Jaunais piecu collu vadības ekrāns daudzfunkcionālajā roku balstā parāda visu ar mašīnu saistīto informāciju. Piekļuves kāpnes uz kabīni mašīnas aizmugurē ir aprīkotas ar automātisku augstuma regulēšanas sistēmu. </w:t>
      </w:r>
      <w:r w:rsidRPr="00EF6716">
        <w:t>Tā nodrošina, ka mašīnas operators var viegli un droši piekļūt platformai jebkurā darba situācijā.</w:t>
      </w:r>
    </w:p>
    <w:p w14:paraId="5EF910E3" w14:textId="2A930451" w:rsidR="00304689" w:rsidRPr="00EF6716" w:rsidRDefault="002F1BBF" w:rsidP="00304689">
      <w:pPr>
        <w:pStyle w:val="Standardabsatz"/>
      </w:pPr>
      <w:r w:rsidRPr="00EF6716">
        <w:t>Izstādē "Bauma 2022" WIRTGEN prezentēs vēl vienu inovāciju kompakto frē</w:t>
      </w:r>
      <w:r w:rsidR="00A2100D" w:rsidRPr="00EF6716">
        <w:t>žu</w:t>
      </w:r>
      <w:r w:rsidRPr="00EF6716">
        <w:t xml:space="preserve"> klasē - pilnībā slēgtu komforta kabīni. Tas pasargā operatoru no tādām tipiskām problēmām kā troksnis un putekļi būvlaukumā un nodrošina ideālus darba apstākļus jeburos laikapstākļos.</w:t>
      </w:r>
    </w:p>
    <w:p w14:paraId="20314062" w14:textId="252AF79F" w:rsidR="00A70473" w:rsidRPr="00EF6716" w:rsidRDefault="00A70473" w:rsidP="00282AFC">
      <w:pPr>
        <w:pStyle w:val="Standardabsatz"/>
      </w:pPr>
    </w:p>
    <w:p w14:paraId="7C6A55CA" w14:textId="166A2E15" w:rsidR="00FB45A9" w:rsidRPr="00EF6716" w:rsidRDefault="00FB45A9" w:rsidP="00282AFC">
      <w:pPr>
        <w:pStyle w:val="Standardabsatz"/>
      </w:pPr>
    </w:p>
    <w:p w14:paraId="02768D4F" w14:textId="1917D396" w:rsidR="00FB45A9" w:rsidRPr="00EF6716" w:rsidRDefault="00FB45A9" w:rsidP="00282AFC">
      <w:pPr>
        <w:pStyle w:val="Standardabsatz"/>
      </w:pPr>
    </w:p>
    <w:p w14:paraId="421CEAB3" w14:textId="14412678" w:rsidR="00FB45A9" w:rsidRPr="00EF6716" w:rsidRDefault="00FB45A9" w:rsidP="00282AFC">
      <w:pPr>
        <w:pStyle w:val="Standardabsatz"/>
      </w:pPr>
    </w:p>
    <w:p w14:paraId="226D7761" w14:textId="77777777" w:rsidR="00FA663A" w:rsidRPr="00EF6716" w:rsidRDefault="00FA663A" w:rsidP="00282AFC">
      <w:pPr>
        <w:pStyle w:val="Standardabsatz"/>
      </w:pPr>
    </w:p>
    <w:p w14:paraId="693555B3" w14:textId="7D4B66D4" w:rsidR="00A70473" w:rsidRPr="00EF6716" w:rsidRDefault="00A70473" w:rsidP="00282AFC">
      <w:pPr>
        <w:pStyle w:val="Standardabsatz"/>
        <w:rPr>
          <w:b/>
          <w:bCs/>
        </w:rPr>
      </w:pPr>
      <w:r w:rsidRPr="00EF6716">
        <w:rPr>
          <w:b/>
        </w:rPr>
        <w:lastRenderedPageBreak/>
        <w:t>ATTĒLI:</w:t>
      </w:r>
    </w:p>
    <w:p w14:paraId="594981FA" w14:textId="57A310F5" w:rsidR="00C61EF8" w:rsidRPr="00EF6716" w:rsidRDefault="00C61EF8" w:rsidP="002611FE">
      <w:pPr>
        <w:pStyle w:val="BUbold"/>
      </w:pPr>
      <w:r w:rsidRPr="00EF6716">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EF6716" w:rsidRDefault="00C61EF8" w:rsidP="002611FE">
      <w:pPr>
        <w:pStyle w:val="BUbold"/>
      </w:pPr>
      <w:r w:rsidRPr="00EF6716">
        <w:t>WG_photo_W130Fi_0001_HI</w:t>
      </w:r>
    </w:p>
    <w:p w14:paraId="4FD9008B" w14:textId="088EAAA4" w:rsidR="00A70473" w:rsidRPr="00EF6716" w:rsidRDefault="002954CA" w:rsidP="00581A6A">
      <w:pPr>
        <w:pStyle w:val="BUnormal"/>
        <w:jc w:val="both"/>
      </w:pPr>
      <w:r w:rsidRPr="00EF6716">
        <w:t>Wirtgen jaunās kompaktās klases frēz</w:t>
      </w:r>
      <w:r w:rsidR="00A2100D" w:rsidRPr="00EF6716">
        <w:t>es</w:t>
      </w:r>
      <w:r w:rsidRPr="00EF6716">
        <w:t xml:space="preserve"> W 100 Fi, W 120 Fi un W 130 Fi piedāvā pārliecinošu veiktspēju ikvienā pielietojumā, piemēram, virsmas slāņu frēzēšanai vai savienojuma frēzēšanai ceļu atjaunošanas projektos.</w:t>
      </w:r>
    </w:p>
    <w:p w14:paraId="47324A88" w14:textId="77777777" w:rsidR="002611FE" w:rsidRPr="00EF6716" w:rsidRDefault="002611FE" w:rsidP="002611FE">
      <w:pPr>
        <w:pStyle w:val="BUnormal"/>
      </w:pPr>
    </w:p>
    <w:p w14:paraId="749FBF75" w14:textId="329C53A1" w:rsidR="00C61EF8" w:rsidRPr="00EF6716" w:rsidRDefault="00C61EF8" w:rsidP="00BD25D1">
      <w:pPr>
        <w:pStyle w:val="BUbold"/>
      </w:pPr>
      <w:r w:rsidRPr="00EF6716">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EF6716" w:rsidRDefault="00BD25D1" w:rsidP="00BD25D1">
      <w:pPr>
        <w:pStyle w:val="BUbold"/>
      </w:pPr>
      <w:r w:rsidRPr="00EF6716">
        <w:t>WG_ photo_W130Fi_0002_HI</w:t>
      </w:r>
    </w:p>
    <w:p w14:paraId="6F7FC9EB" w14:textId="5FD4A4D6" w:rsidR="00BD25D1" w:rsidRPr="00EF6716" w:rsidRDefault="002954CA" w:rsidP="0085522C">
      <w:pPr>
        <w:pStyle w:val="BUnormal"/>
        <w:jc w:val="both"/>
      </w:pPr>
      <w:r w:rsidRPr="00EF6716">
        <w:t>Jaudīgais John Deere dzinējs ar griezes momenta raksturlielumu, kas precīzi noregulēts aukstās frēzēšanas iekārtu īpašajām vajadzībām, nodrošina augstu produktivitāti un efektivitāti katrā frēzēšanas</w:t>
      </w:r>
      <w:r w:rsidR="00A2100D" w:rsidRPr="00EF6716">
        <w:t xml:space="preserve"> </w:t>
      </w:r>
      <w:r w:rsidRPr="00EF6716">
        <w:t xml:space="preserve">projektā. </w:t>
      </w:r>
      <w:r w:rsidRPr="00EF6716">
        <w:br/>
      </w:r>
    </w:p>
    <w:p w14:paraId="04824B2F" w14:textId="1D2C88F5" w:rsidR="00F74540" w:rsidRPr="00EF6716" w:rsidRDefault="00E15EBE" w:rsidP="006C0C87">
      <w:pPr>
        <w:pStyle w:val="Note"/>
        <w:rPr>
          <w:iCs/>
        </w:rPr>
      </w:pPr>
      <w:r w:rsidRPr="00EF6716">
        <w:rPr>
          <w:iCs/>
        </w:rPr>
        <w:t>Lūdzu, ņemiet vērā: šeit redzamās fotogrāfijas ir tikai priekšskatījumi. Ja vēlaties tās publicēt citos medijos, lūdzu, lejupielādējiet augstākas izšķirtspējas (300 dpi) versijas no “Wirtgen Group” tīmekļa vietnēm.</w:t>
      </w:r>
    </w:p>
    <w:p w14:paraId="55931FB8" w14:textId="77777777" w:rsidR="00E15EBE" w:rsidRPr="00EF6716" w:rsidRDefault="00E15EBE" w:rsidP="00E15EBE">
      <w:pPr>
        <w:pStyle w:val="Absatzberschrift"/>
      </w:pPr>
      <w:r w:rsidRPr="00EF6716">
        <w:t>Papildu informācijas iegūšanai, lūdzu, sazinieties ar:</w:t>
      </w:r>
    </w:p>
    <w:p w14:paraId="0834BAC7" w14:textId="77777777" w:rsidR="00E15EBE" w:rsidRPr="00EF6716" w:rsidRDefault="00E15EBE" w:rsidP="00E15EBE">
      <w:pPr>
        <w:pStyle w:val="Absatzberschrift"/>
      </w:pPr>
    </w:p>
    <w:p w14:paraId="69EE0B1B" w14:textId="77777777" w:rsidR="00E15EBE" w:rsidRPr="00EF6716" w:rsidRDefault="00E15EBE" w:rsidP="00E15EBE">
      <w:pPr>
        <w:pStyle w:val="Absatzberschrift"/>
        <w:rPr>
          <w:b w:val="0"/>
          <w:bCs/>
          <w:szCs w:val="22"/>
        </w:rPr>
      </w:pPr>
      <w:r w:rsidRPr="00EF6716">
        <w:rPr>
          <w:b w:val="0"/>
        </w:rPr>
        <w:t>WIRTGEN GROUP</w:t>
      </w:r>
    </w:p>
    <w:p w14:paraId="6C2CE818" w14:textId="77777777" w:rsidR="00E15EBE" w:rsidRPr="00EF6716" w:rsidRDefault="00E15EBE" w:rsidP="00E15EBE">
      <w:pPr>
        <w:pStyle w:val="Fuzeile1"/>
        <w:rPr>
          <w:iCs w:val="0"/>
        </w:rPr>
      </w:pPr>
      <w:r w:rsidRPr="00EF6716">
        <w:rPr>
          <w:iCs w:val="0"/>
        </w:rPr>
        <w:t>Sabiedrisko attiecību departaments</w:t>
      </w:r>
    </w:p>
    <w:p w14:paraId="11D0C008" w14:textId="77777777" w:rsidR="00E15EBE" w:rsidRPr="00EF6716" w:rsidRDefault="00E15EBE" w:rsidP="00E15EBE">
      <w:pPr>
        <w:pStyle w:val="Fuzeile1"/>
        <w:rPr>
          <w:iCs w:val="0"/>
        </w:rPr>
      </w:pPr>
      <w:r w:rsidRPr="00EF6716">
        <w:rPr>
          <w:iCs w:val="0"/>
        </w:rPr>
        <w:t>Reinhard-Wirtgen-Strasse 2</w:t>
      </w:r>
    </w:p>
    <w:p w14:paraId="1063A82F" w14:textId="77777777" w:rsidR="00E15EBE" w:rsidRPr="00EF6716" w:rsidRDefault="00E15EBE" w:rsidP="00E15EBE">
      <w:pPr>
        <w:pStyle w:val="Fuzeile1"/>
        <w:rPr>
          <w:iCs w:val="0"/>
        </w:rPr>
      </w:pPr>
      <w:r w:rsidRPr="00EF6716">
        <w:rPr>
          <w:iCs w:val="0"/>
        </w:rPr>
        <w:t>53578 Vindhāgena</w:t>
      </w:r>
    </w:p>
    <w:p w14:paraId="5A37CC2B" w14:textId="77777777" w:rsidR="00E15EBE" w:rsidRPr="00EF6716" w:rsidRDefault="00E15EBE" w:rsidP="00E15EBE">
      <w:pPr>
        <w:pStyle w:val="Fuzeile1"/>
        <w:rPr>
          <w:iCs w:val="0"/>
        </w:rPr>
      </w:pPr>
      <w:r w:rsidRPr="00EF6716">
        <w:rPr>
          <w:iCs w:val="0"/>
        </w:rPr>
        <w:t>Vācija</w:t>
      </w:r>
    </w:p>
    <w:p w14:paraId="29A07732" w14:textId="77777777" w:rsidR="00E15EBE" w:rsidRPr="00EF6716" w:rsidRDefault="00E15EBE" w:rsidP="00E15EBE">
      <w:pPr>
        <w:pStyle w:val="Fuzeile1"/>
        <w:rPr>
          <w:iCs w:val="0"/>
        </w:rPr>
      </w:pPr>
    </w:p>
    <w:p w14:paraId="0C099062" w14:textId="77777777" w:rsidR="00E15EBE" w:rsidRPr="00EF6716" w:rsidRDefault="00E15EBE" w:rsidP="00E15EBE">
      <w:pPr>
        <w:pStyle w:val="Fuzeile1"/>
        <w:rPr>
          <w:rFonts w:ascii="Times New Roman" w:hAnsi="Times New Roman" w:cs="Times New Roman"/>
          <w:iCs w:val="0"/>
          <w:color w:val="FF0000"/>
        </w:rPr>
      </w:pPr>
      <w:r w:rsidRPr="00EF6716">
        <w:rPr>
          <w:iCs w:val="0"/>
        </w:rPr>
        <w:t xml:space="preserve">Tālrunis: +49 (0)2645 131 0 </w:t>
      </w:r>
    </w:p>
    <w:p w14:paraId="65F4C38F" w14:textId="77777777" w:rsidR="00E15EBE" w:rsidRPr="00EF6716" w:rsidRDefault="00E15EBE" w:rsidP="00E15EBE">
      <w:pPr>
        <w:pStyle w:val="Fuzeile1"/>
        <w:rPr>
          <w:iCs w:val="0"/>
        </w:rPr>
      </w:pPr>
      <w:r w:rsidRPr="00EF6716">
        <w:rPr>
          <w:iCs w:val="0"/>
        </w:rPr>
        <w:t>Fakss: +49 (0)2645 131 499</w:t>
      </w:r>
    </w:p>
    <w:p w14:paraId="79FF3B7C" w14:textId="0C549577" w:rsidR="00E15EBE" w:rsidRPr="00EF6716" w:rsidRDefault="00E15EBE" w:rsidP="00E15EBE">
      <w:pPr>
        <w:pStyle w:val="Fuzeile1"/>
        <w:rPr>
          <w:iCs w:val="0"/>
        </w:rPr>
      </w:pPr>
      <w:r w:rsidRPr="00EF6716">
        <w:rPr>
          <w:iCs w:val="0"/>
        </w:rPr>
        <w:t>E-pasts: PR@wirtgen-group.com</w:t>
      </w:r>
      <w:r w:rsidRPr="00EF6716">
        <w:rPr>
          <w:iCs w:val="0"/>
          <w:vanish/>
        </w:rPr>
        <w:t>PR@wirtgen-group.com</w:t>
      </w:r>
    </w:p>
    <w:p w14:paraId="4F99EB86" w14:textId="77777777" w:rsidR="00E15EBE" w:rsidRPr="00EF6716" w:rsidRDefault="00E15EBE" w:rsidP="00E15EBE">
      <w:pPr>
        <w:pStyle w:val="Fuzeile1"/>
        <w:rPr>
          <w:iCs w:val="0"/>
          <w:vanish/>
        </w:rPr>
      </w:pPr>
    </w:p>
    <w:p w14:paraId="60E621ED" w14:textId="606E824D" w:rsidR="00C95DAB" w:rsidRPr="00EF6716" w:rsidRDefault="00EF6716" w:rsidP="00F74540">
      <w:pPr>
        <w:pStyle w:val="Fuzeile1"/>
        <w:rPr>
          <w:iCs w:val="0"/>
        </w:rPr>
      </w:pPr>
      <w:hyperlink r:id="rId10" w:history="1">
        <w:r w:rsidR="000A317B" w:rsidRPr="00EF6716">
          <w:rPr>
            <w:rStyle w:val="Hyperlink"/>
            <w:iCs w:val="0"/>
            <w:color w:val="auto"/>
            <w:u w:val="none"/>
          </w:rPr>
          <w:t>www.wirtgen-group.com</w:t>
        </w:r>
      </w:hyperlink>
    </w:p>
    <w:sectPr w:rsidR="00C95DAB" w:rsidRPr="00EF6716"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9B778" w14:textId="77777777" w:rsidR="006158F6" w:rsidRDefault="006158F6" w:rsidP="00E55534">
      <w:r>
        <w:separator/>
      </w:r>
    </w:p>
  </w:endnote>
  <w:endnote w:type="continuationSeparator" w:id="0">
    <w:p w14:paraId="23852BD5" w14:textId="77777777" w:rsidR="006158F6" w:rsidRDefault="006158F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panose1 w:val="00000000000000000000"/>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Vindhāgena, Vācija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F1363" w14:textId="77777777" w:rsidR="006158F6" w:rsidRDefault="006158F6" w:rsidP="00E55534">
      <w:r>
        <w:separator/>
      </w:r>
    </w:p>
  </w:footnote>
  <w:footnote w:type="continuationSeparator" w:id="0">
    <w:p w14:paraId="1DDE9B42" w14:textId="77777777" w:rsidR="006158F6" w:rsidRDefault="006158F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500pt;height:1500pt" o:bullet="t">
        <v:imagedata r:id="rId1" o:title="AZ_04a"/>
      </v:shape>
    </w:pict>
  </w:numPicBullet>
  <w:numPicBullet w:numPicBulletId="1">
    <w:pict>
      <v:shape id="_x0000_i108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244FD"/>
    <w:rsid w:val="00042106"/>
    <w:rsid w:val="0004576F"/>
    <w:rsid w:val="0005285B"/>
    <w:rsid w:val="00055529"/>
    <w:rsid w:val="00057F82"/>
    <w:rsid w:val="00062C3A"/>
    <w:rsid w:val="00066D09"/>
    <w:rsid w:val="000677AC"/>
    <w:rsid w:val="000758ED"/>
    <w:rsid w:val="000854C9"/>
    <w:rsid w:val="0009665C"/>
    <w:rsid w:val="000A0479"/>
    <w:rsid w:val="000A317B"/>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01DDF"/>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1A6A"/>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158F6"/>
    <w:rsid w:val="00623B37"/>
    <w:rsid w:val="006330A2"/>
    <w:rsid w:val="00642EB6"/>
    <w:rsid w:val="006433E2"/>
    <w:rsid w:val="00651E5D"/>
    <w:rsid w:val="00677F11"/>
    <w:rsid w:val="00682B1A"/>
    <w:rsid w:val="00690D7C"/>
    <w:rsid w:val="00690DFE"/>
    <w:rsid w:val="006B3EEC"/>
    <w:rsid w:val="006B44F6"/>
    <w:rsid w:val="006C0C87"/>
    <w:rsid w:val="006D6CC6"/>
    <w:rsid w:val="006D7EAC"/>
    <w:rsid w:val="006E0104"/>
    <w:rsid w:val="006F7602"/>
    <w:rsid w:val="00722A17"/>
    <w:rsid w:val="00723F4F"/>
    <w:rsid w:val="00732232"/>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100D"/>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3048"/>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EF6716"/>
    <w:rsid w:val="00F048D4"/>
    <w:rsid w:val="00F20920"/>
    <w:rsid w:val="00F23212"/>
    <w:rsid w:val="00F33B16"/>
    <w:rsid w:val="00F353EA"/>
    <w:rsid w:val="00F36C27"/>
    <w:rsid w:val="00F56318"/>
    <w:rsid w:val="00F67C95"/>
    <w:rsid w:val="00F74540"/>
    <w:rsid w:val="00F75B79"/>
    <w:rsid w:val="00F82525"/>
    <w:rsid w:val="00F91AC4"/>
    <w:rsid w:val="00F97FEA"/>
    <w:rsid w:val="00FA663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889</Words>
  <Characters>5606</Characters>
  <Application>Microsoft Office Word</Application>
  <DocSecurity>4</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6483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2</cp:revision>
  <cp:lastPrinted>2021-10-28T15:19:00Z</cp:lastPrinted>
  <dcterms:created xsi:type="dcterms:W3CDTF">2022-10-13T07:20:00Z</dcterms:created>
  <dcterms:modified xsi:type="dcterms:W3CDTF">2022-10-13T07:20:00Z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