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907D62" w:rsidP="00244981">
      <w:pPr>
        <w:pStyle w:val="berschrift1"/>
        <w:spacing w:before="0" w:after="0" w:line="276" w:lineRule="auto"/>
        <w:jc w:val="left"/>
      </w:pPr>
      <w:r>
        <w:t xml:space="preserve">New </w:t>
      </w:r>
      <w:r w:rsidR="00EF3946">
        <w:t>Milling</w:t>
      </w:r>
      <w:r w:rsidR="00391A3F">
        <w:t xml:space="preserve"> Tools</w:t>
      </w:r>
      <w:r>
        <w:t xml:space="preserve"> for Soil Stabilization</w:t>
      </w:r>
    </w:p>
    <w:p w:rsidR="002E765F" w:rsidRPr="00A80677" w:rsidRDefault="002E765F" w:rsidP="002E765F">
      <w:pPr>
        <w:pStyle w:val="Text"/>
      </w:pPr>
    </w:p>
    <w:p w:rsidR="00907D62" w:rsidRPr="00315603" w:rsidRDefault="00907D62" w:rsidP="00907D62">
      <w:pPr>
        <w:pStyle w:val="Text"/>
        <w:spacing w:after="240" w:line="276" w:lineRule="auto"/>
        <w:rPr>
          <w:b/>
          <w:sz w:val="24"/>
          <w:szCs w:val="24"/>
        </w:rPr>
      </w:pPr>
      <w:r>
        <w:rPr>
          <w:b/>
          <w:sz w:val="24"/>
          <w:szCs w:val="24"/>
        </w:rPr>
        <w:t>Soil stabilization, a process widely used throughout the world, is the ideal solution for producing compactable soil with good paving properties from a sub-base with insufficient bearing capacity. In this context, companies need to be able to process a wide variety of soil types, from “highly cohesive” to “</w:t>
      </w:r>
      <w:proofErr w:type="gramStart"/>
      <w:r>
        <w:rPr>
          <w:b/>
          <w:sz w:val="24"/>
          <w:szCs w:val="24"/>
        </w:rPr>
        <w:t>interspersed</w:t>
      </w:r>
      <w:proofErr w:type="gramEnd"/>
      <w:r>
        <w:rPr>
          <w:b/>
          <w:sz w:val="24"/>
          <w:szCs w:val="24"/>
        </w:rPr>
        <w:t xml:space="preserve"> with coarse rock” to “abrasive.”</w:t>
      </w:r>
    </w:p>
    <w:p w:rsidR="00907D62" w:rsidRDefault="00907D62" w:rsidP="00907D62">
      <w:pPr>
        <w:pStyle w:val="Text"/>
        <w:spacing w:after="240" w:line="276" w:lineRule="auto"/>
        <w:rPr>
          <w:sz w:val="24"/>
          <w:szCs w:val="24"/>
        </w:rPr>
      </w:pPr>
      <w:r>
        <w:rPr>
          <w:sz w:val="24"/>
          <w:szCs w:val="24"/>
        </w:rPr>
        <w:t xml:space="preserve">Wirtgen develops special </w:t>
      </w:r>
      <w:r w:rsidR="00EF3946">
        <w:rPr>
          <w:sz w:val="24"/>
          <w:szCs w:val="24"/>
        </w:rPr>
        <w:t>milling</w:t>
      </w:r>
      <w:r w:rsidR="00391A3F">
        <w:rPr>
          <w:sz w:val="24"/>
          <w:szCs w:val="24"/>
        </w:rPr>
        <w:t xml:space="preserve"> tools</w:t>
      </w:r>
      <w:r>
        <w:rPr>
          <w:sz w:val="24"/>
          <w:szCs w:val="24"/>
        </w:rPr>
        <w:t xml:space="preserve"> specifically for these applications. In addition to the </w:t>
      </w:r>
      <w:r w:rsidR="00391A3F">
        <w:rPr>
          <w:sz w:val="24"/>
          <w:szCs w:val="24"/>
        </w:rPr>
        <w:t>point attack cutting tools</w:t>
      </w:r>
      <w:r>
        <w:rPr>
          <w:sz w:val="24"/>
          <w:szCs w:val="24"/>
        </w:rPr>
        <w:t xml:space="preserve"> with conventional carbide tips that have been widely used to date, the company’s range of picks for soil stabilization now includes Wirtgen Compact Carbide (WCC) </w:t>
      </w:r>
      <w:r w:rsidR="00EF3946">
        <w:rPr>
          <w:sz w:val="24"/>
          <w:szCs w:val="24"/>
        </w:rPr>
        <w:t>milling</w:t>
      </w:r>
      <w:r w:rsidR="00391A3F">
        <w:rPr>
          <w:sz w:val="24"/>
          <w:szCs w:val="24"/>
        </w:rPr>
        <w:t xml:space="preserve"> tools</w:t>
      </w:r>
      <w:r>
        <w:rPr>
          <w:sz w:val="24"/>
          <w:szCs w:val="24"/>
        </w:rPr>
        <w:t>.</w:t>
      </w:r>
    </w:p>
    <w:p w:rsidR="00907D62" w:rsidRPr="0042681F" w:rsidRDefault="00907D62" w:rsidP="00907D62">
      <w:pPr>
        <w:pStyle w:val="Text"/>
        <w:spacing w:line="276" w:lineRule="auto"/>
        <w:rPr>
          <w:b/>
          <w:sz w:val="24"/>
          <w:szCs w:val="24"/>
        </w:rPr>
      </w:pPr>
      <w:r>
        <w:rPr>
          <w:b/>
          <w:sz w:val="24"/>
          <w:szCs w:val="24"/>
        </w:rPr>
        <w:t>Specifically for Soil Interspersed with Stones</w:t>
      </w:r>
    </w:p>
    <w:p w:rsidR="00907D62" w:rsidRPr="0042681F" w:rsidRDefault="00907D62" w:rsidP="00907D62">
      <w:pPr>
        <w:pStyle w:val="Text"/>
        <w:spacing w:after="240" w:line="276" w:lineRule="auto"/>
        <w:rPr>
          <w:sz w:val="24"/>
          <w:szCs w:val="24"/>
        </w:rPr>
      </w:pPr>
      <w:r>
        <w:rPr>
          <w:sz w:val="24"/>
          <w:szCs w:val="24"/>
        </w:rPr>
        <w:t xml:space="preserve">Due to their shape and materials, Wirtgen’s newly developed WCC </w:t>
      </w:r>
      <w:r w:rsidR="00EF3946">
        <w:rPr>
          <w:sz w:val="24"/>
          <w:szCs w:val="24"/>
        </w:rPr>
        <w:t>mill</w:t>
      </w:r>
      <w:r w:rsidR="00391A3F">
        <w:rPr>
          <w:sz w:val="24"/>
          <w:szCs w:val="24"/>
        </w:rPr>
        <w:t>ing tools</w:t>
      </w:r>
      <w:r>
        <w:rPr>
          <w:sz w:val="24"/>
          <w:szCs w:val="24"/>
        </w:rPr>
        <w:t xml:space="preserve"> are perfect for </w:t>
      </w:r>
      <w:r w:rsidR="00391A3F">
        <w:rPr>
          <w:sz w:val="24"/>
          <w:szCs w:val="24"/>
        </w:rPr>
        <w:t xml:space="preserve">mixing of </w:t>
      </w:r>
      <w:r>
        <w:rPr>
          <w:sz w:val="24"/>
          <w:szCs w:val="24"/>
        </w:rPr>
        <w:t>cohesive soils interspersed with large pieces of rock. They have a highly wear-resistant carbide cutting edge that is nearly unbreakable and therefore impact-resistant due to the enormous strength of the material.</w:t>
      </w:r>
    </w:p>
    <w:p w:rsidR="00907D62" w:rsidRPr="0042681F" w:rsidRDefault="00907D62" w:rsidP="00907D62">
      <w:pPr>
        <w:pStyle w:val="Text"/>
        <w:spacing w:after="240" w:line="276" w:lineRule="auto"/>
        <w:rPr>
          <w:sz w:val="24"/>
          <w:szCs w:val="24"/>
        </w:rPr>
      </w:pPr>
      <w:r>
        <w:rPr>
          <w:sz w:val="24"/>
          <w:szCs w:val="24"/>
        </w:rPr>
        <w:t xml:space="preserve">Depending on their application, WCC </w:t>
      </w:r>
      <w:r w:rsidR="00EF3946">
        <w:rPr>
          <w:sz w:val="24"/>
          <w:szCs w:val="24"/>
        </w:rPr>
        <w:t>mill</w:t>
      </w:r>
      <w:r w:rsidR="00391A3F">
        <w:rPr>
          <w:sz w:val="24"/>
          <w:szCs w:val="24"/>
        </w:rPr>
        <w:t>ing tools</w:t>
      </w:r>
      <w:r>
        <w:rPr>
          <w:sz w:val="24"/>
          <w:szCs w:val="24"/>
        </w:rPr>
        <w:t xml:space="preserve"> </w:t>
      </w:r>
      <w:proofErr w:type="gramStart"/>
      <w:r>
        <w:rPr>
          <w:sz w:val="24"/>
          <w:szCs w:val="24"/>
        </w:rPr>
        <w:t>are a useful addition</w:t>
      </w:r>
      <w:proofErr w:type="gramEnd"/>
      <w:r>
        <w:rPr>
          <w:sz w:val="24"/>
          <w:szCs w:val="24"/>
        </w:rPr>
        <w:t xml:space="preserve"> to the existing rang</w:t>
      </w:r>
      <w:r w:rsidR="00034600">
        <w:rPr>
          <w:sz w:val="24"/>
          <w:szCs w:val="24"/>
        </w:rPr>
        <w:t>e of point-attack cutting tools with Generation Z being the all-rounder for cold recycling and soil stabilization. Even the hardest base courses and soils can be economically processed with these point-attack cutting tools.</w:t>
      </w:r>
    </w:p>
    <w:p w:rsidR="002E765F" w:rsidRDefault="002E765F" w:rsidP="00C644CA">
      <w:pPr>
        <w:pStyle w:val="Text"/>
      </w:pPr>
    </w:p>
    <w:p w:rsidR="00315603" w:rsidRDefault="00315603" w:rsidP="00C644CA">
      <w:pPr>
        <w:pStyle w:val="Text"/>
      </w:pPr>
    </w:p>
    <w:p w:rsidR="00315603" w:rsidRPr="0014683F" w:rsidRDefault="00315603" w:rsidP="00C644CA">
      <w:pPr>
        <w:pStyle w:val="Text"/>
      </w:pPr>
    </w:p>
    <w:p w:rsidR="00D166AC" w:rsidRDefault="002844EF" w:rsidP="00C644CA">
      <w:pPr>
        <w:pStyle w:val="HeadlineFotos"/>
      </w:pPr>
      <w:r>
        <w:rPr>
          <w:rFonts w:ascii="Verdana" w:hAnsi="Verdana"/>
          <w:caps w:val="0"/>
          <w:szCs w:val="22"/>
        </w:rPr>
        <w:t>Photos</w:t>
      </w:r>
      <w:r>
        <w:t>:</w:t>
      </w:r>
    </w:p>
    <w:tbl>
      <w:tblPr>
        <w:tblStyle w:val="Basic"/>
        <w:tblW w:w="0" w:type="auto"/>
        <w:tblCellSpacing w:w="71" w:type="dxa"/>
        <w:tblLook w:val="04A0" w:firstRow="1" w:lastRow="0" w:firstColumn="1" w:lastColumn="0" w:noHBand="0" w:noVBand="1"/>
      </w:tblPr>
      <w:tblGrid>
        <w:gridCol w:w="4860"/>
        <w:gridCol w:w="4948"/>
      </w:tblGrid>
      <w:tr w:rsidR="00315603"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63D76119" wp14:editId="58B4E7E7">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Default="00907D62" w:rsidP="0014683F">
            <w:pPr>
              <w:pStyle w:val="berschrift3"/>
              <w:outlineLvl w:val="2"/>
            </w:pPr>
            <w:r>
              <w:t>W_photo_CuttingTools_WCC_00011_HI</w:t>
            </w:r>
          </w:p>
          <w:p w:rsidR="00D166AC" w:rsidRPr="005B3697" w:rsidRDefault="00CB718A" w:rsidP="00EF3946">
            <w:pPr>
              <w:pStyle w:val="Text"/>
              <w:jc w:val="left"/>
              <w:rPr>
                <w:sz w:val="20"/>
              </w:rPr>
            </w:pPr>
            <w:r>
              <w:rPr>
                <w:sz w:val="20"/>
              </w:rPr>
              <w:t xml:space="preserve">Wirtgen Compact Carbine </w:t>
            </w:r>
            <w:r w:rsidR="00EF3946">
              <w:rPr>
                <w:sz w:val="20"/>
              </w:rPr>
              <w:t>milling</w:t>
            </w:r>
            <w:r w:rsidR="00391A3F">
              <w:rPr>
                <w:sz w:val="20"/>
              </w:rPr>
              <w:t xml:space="preserve"> tools</w:t>
            </w:r>
            <w:r>
              <w:rPr>
                <w:sz w:val="20"/>
              </w:rPr>
              <w:t xml:space="preserve"> with their extremely robust carbide cutting edge are particularly suitable for stabilizing cohesive soils interspersed with large pieces of rock. For these requirements, the WCC </w:t>
            </w:r>
            <w:r w:rsidR="00391A3F">
              <w:rPr>
                <w:sz w:val="20"/>
              </w:rPr>
              <w:t xml:space="preserve">picks </w:t>
            </w:r>
            <w:r>
              <w:rPr>
                <w:sz w:val="20"/>
              </w:rPr>
              <w:t>are a clever alternative to traditional point-attack cutting tools.</w:t>
            </w:r>
          </w:p>
        </w:tc>
      </w:tr>
    </w:tbl>
    <w:p w:rsidR="00315603" w:rsidRDefault="00315603" w:rsidP="00315603">
      <w:pPr>
        <w:pStyle w:val="Text"/>
      </w:pPr>
      <w:r>
        <w:br w:type="page"/>
      </w:r>
    </w:p>
    <w:p w:rsidR="00315603" w:rsidRDefault="00315603" w:rsidP="00315603">
      <w:pPr>
        <w:pStyle w:val="HeadlineFotos"/>
      </w:pPr>
      <w:r>
        <w:rPr>
          <w:rFonts w:ascii="Verdana" w:hAnsi="Verdana"/>
          <w:caps w:val="0"/>
          <w:szCs w:val="22"/>
        </w:rPr>
        <w:lastRenderedPageBreak/>
        <w:t>Photos</w:t>
      </w:r>
      <w:r>
        <w:t>:</w:t>
      </w:r>
    </w:p>
    <w:tbl>
      <w:tblPr>
        <w:tblStyle w:val="Basic"/>
        <w:tblW w:w="0" w:type="auto"/>
        <w:tblCellSpacing w:w="71" w:type="dxa"/>
        <w:tblLook w:val="04A0" w:firstRow="1" w:lastRow="0" w:firstColumn="1" w:lastColumn="0" w:noHBand="0" w:noVBand="1"/>
      </w:tblPr>
      <w:tblGrid>
        <w:gridCol w:w="4950"/>
        <w:gridCol w:w="4858"/>
      </w:tblGrid>
      <w:tr w:rsidR="00315603" w:rsidTr="00315603">
        <w:trPr>
          <w:cnfStyle w:val="100000000000" w:firstRow="1" w:lastRow="0" w:firstColumn="0" w:lastColumn="0" w:oddVBand="0" w:evenVBand="0" w:oddHBand="0" w:evenHBand="0" w:firstRowFirstColumn="0" w:firstRowLastColumn="0" w:lastRowFirstColumn="0" w:lastRowLastColumn="0"/>
          <w:tblCellSpacing w:w="71" w:type="dxa"/>
        </w:trPr>
        <w:tc>
          <w:tcPr>
            <w:tcW w:w="4737" w:type="dxa"/>
            <w:tcBorders>
              <w:right w:val="single" w:sz="4" w:space="0" w:color="auto"/>
            </w:tcBorders>
          </w:tcPr>
          <w:p w:rsidR="00907D62" w:rsidRPr="00D166AC" w:rsidRDefault="00907D62" w:rsidP="003C76E8">
            <w:r>
              <w:rPr>
                <w:noProof/>
                <w:lang w:val="de-DE" w:eastAsia="de-DE"/>
              </w:rPr>
              <w:drawing>
                <wp:inline distT="0" distB="0" distL="0" distR="0" wp14:anchorId="36CB26D9" wp14:editId="2A9E2614">
                  <wp:extent cx="2338455" cy="2923579"/>
                  <wp:effectExtent l="0" t="0" r="508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338455" cy="2923579"/>
                          </a:xfrm>
                          <a:prstGeom prst="rect">
                            <a:avLst/>
                          </a:prstGeom>
                          <a:noFill/>
                          <a:ln>
                            <a:noFill/>
                          </a:ln>
                        </pic:spPr>
                      </pic:pic>
                    </a:graphicData>
                  </a:graphic>
                </wp:inline>
              </w:drawing>
            </w:r>
          </w:p>
        </w:tc>
        <w:tc>
          <w:tcPr>
            <w:tcW w:w="4645" w:type="dxa"/>
          </w:tcPr>
          <w:p w:rsidR="00907D62" w:rsidRDefault="00B631D1" w:rsidP="003C76E8">
            <w:pPr>
              <w:pStyle w:val="berschrift3"/>
              <w:outlineLvl w:val="2"/>
            </w:pPr>
            <w:r>
              <w:t xml:space="preserve">WCC-33/HT – </w:t>
            </w:r>
            <w:proofErr w:type="spellStart"/>
            <w:r>
              <w:t>Explosionsdarstellung_en</w:t>
            </w:r>
            <w:proofErr w:type="spellEnd"/>
          </w:p>
          <w:p w:rsidR="00907D62" w:rsidRPr="005B3697" w:rsidRDefault="00907D62" w:rsidP="003C76E8">
            <w:pPr>
              <w:pStyle w:val="Text"/>
              <w:jc w:val="left"/>
              <w:rPr>
                <w:sz w:val="20"/>
              </w:rPr>
            </w:pPr>
            <w:r>
              <w:rPr>
                <w:sz w:val="20"/>
              </w:rPr>
              <w:t>Thanks to the enormous strength of the cutting edges, the high break stability of the carbide cutters is particularly advantageous when working with large pieces of rock and can therefore withstand even the highest impact loads.</w:t>
            </w:r>
          </w:p>
        </w:tc>
      </w:tr>
    </w:tbl>
    <w:p w:rsidR="00907D62" w:rsidRDefault="00907D62" w:rsidP="00D166AC">
      <w:pPr>
        <w:pStyle w:val="Text"/>
      </w:pPr>
    </w:p>
    <w:tbl>
      <w:tblPr>
        <w:tblStyle w:val="Basic"/>
        <w:tblW w:w="0" w:type="auto"/>
        <w:tblCellSpacing w:w="71" w:type="dxa"/>
        <w:tblLook w:val="04A0" w:firstRow="1" w:lastRow="0" w:firstColumn="1" w:lastColumn="0" w:noHBand="0" w:noVBand="1"/>
      </w:tblPr>
      <w:tblGrid>
        <w:gridCol w:w="4950"/>
        <w:gridCol w:w="4858"/>
      </w:tblGrid>
      <w:tr w:rsidR="00B631D1" w:rsidTr="005703CE">
        <w:trPr>
          <w:cnfStyle w:val="100000000000" w:firstRow="1" w:lastRow="0" w:firstColumn="0" w:lastColumn="0" w:oddVBand="0" w:evenVBand="0" w:oddHBand="0" w:evenHBand="0" w:firstRowFirstColumn="0" w:firstRowLastColumn="0" w:lastRowFirstColumn="0" w:lastRowLastColumn="0"/>
          <w:tblCellSpacing w:w="71" w:type="dxa"/>
        </w:trPr>
        <w:tc>
          <w:tcPr>
            <w:tcW w:w="4737" w:type="dxa"/>
            <w:tcBorders>
              <w:right w:val="single" w:sz="4" w:space="0" w:color="auto"/>
            </w:tcBorders>
          </w:tcPr>
          <w:p w:rsidR="00B631D1" w:rsidRPr="00D166AC" w:rsidRDefault="00B631D1" w:rsidP="005703CE">
            <w:r>
              <w:rPr>
                <w:noProof/>
                <w:lang w:val="de-DE" w:eastAsia="de-DE"/>
              </w:rPr>
              <w:drawing>
                <wp:inline distT="0" distB="0" distL="0" distR="0" wp14:anchorId="7C4E7C76" wp14:editId="6A09A4D0">
                  <wp:extent cx="1790700" cy="2083369"/>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791932" cy="2084802"/>
                          </a:xfrm>
                          <a:prstGeom prst="rect">
                            <a:avLst/>
                          </a:prstGeom>
                          <a:noFill/>
                          <a:ln>
                            <a:noFill/>
                          </a:ln>
                        </pic:spPr>
                      </pic:pic>
                    </a:graphicData>
                  </a:graphic>
                </wp:inline>
              </w:drawing>
            </w:r>
          </w:p>
        </w:tc>
        <w:tc>
          <w:tcPr>
            <w:tcW w:w="4645" w:type="dxa"/>
          </w:tcPr>
          <w:p w:rsidR="00B631D1" w:rsidRDefault="00B631D1" w:rsidP="005703CE">
            <w:pPr>
              <w:pStyle w:val="berschrift3"/>
              <w:outlineLvl w:val="2"/>
            </w:pPr>
            <w:r>
              <w:t>GENERATION Z + HT22</w:t>
            </w:r>
          </w:p>
          <w:p w:rsidR="00B631D1" w:rsidRPr="005B3697" w:rsidRDefault="00B631D1" w:rsidP="005703CE">
            <w:pPr>
              <w:pStyle w:val="Text"/>
              <w:jc w:val="left"/>
              <w:rPr>
                <w:sz w:val="20"/>
              </w:rPr>
            </w:pPr>
            <w:r w:rsidRPr="00B631D1">
              <w:rPr>
                <w:sz w:val="20"/>
              </w:rPr>
              <w:t xml:space="preserve">GENERATION Z point-attack cutting tools and the HT22 quick-change </w:t>
            </w:r>
            <w:proofErr w:type="spellStart"/>
            <w:r w:rsidRPr="00B631D1">
              <w:rPr>
                <w:sz w:val="20"/>
              </w:rPr>
              <w:t>toolholder</w:t>
            </w:r>
            <w:proofErr w:type="spellEnd"/>
            <w:r w:rsidRPr="00B631D1">
              <w:rPr>
                <w:sz w:val="20"/>
              </w:rPr>
              <w:t xml:space="preserve"> system were developed by Wirtgen especially for the specific requirements of cold recycling and soil stabilization. Depending on the requirements, cutting tools with a shaft diameter of 22 mm or 25 mm are available.</w:t>
            </w:r>
          </w:p>
        </w:tc>
      </w:tr>
    </w:tbl>
    <w:p w:rsidR="00B631D1" w:rsidRDefault="00B631D1" w:rsidP="00D166AC">
      <w:pPr>
        <w:pStyle w:val="Text"/>
      </w:pPr>
    </w:p>
    <w:p w:rsidR="00B631D1" w:rsidRDefault="00B631D1" w:rsidP="00D166AC">
      <w:pPr>
        <w:pStyle w:val="Text"/>
      </w:pPr>
    </w:p>
    <w:p w:rsidR="00C03396" w:rsidRDefault="00C03396" w:rsidP="00C03396">
      <w:pPr>
        <w:pStyle w:val="Text"/>
      </w:pPr>
      <w:r>
        <w:rPr>
          <w:i/>
          <w:u w:val="single"/>
        </w:rPr>
        <w:t>Note:</w:t>
      </w:r>
      <w:r>
        <w:rPr>
          <w:i/>
        </w:rPr>
        <w:t xml:space="preserve"> These photographs are only intended as a preview.  For printing in publications, please use the photographs in 300 dpi resolution that are available for download from the Wirtgen GmbH/Wirtgen Group websites.</w:t>
      </w:r>
    </w:p>
    <w:p w:rsidR="00244981" w:rsidRDefault="00244981" w:rsidP="00D166AC">
      <w:pPr>
        <w:pStyle w:val="Text"/>
      </w:pPr>
    </w:p>
    <w:p w:rsidR="00C03396" w:rsidRDefault="00C03396" w:rsidP="00D166AC">
      <w:pPr>
        <w:pStyle w:val="Text"/>
      </w:pPr>
    </w:p>
    <w:p w:rsidR="00B631D1" w:rsidRDefault="00B631D1">
      <w:r>
        <w:rPr>
          <w:b/>
          <w:caps/>
        </w:rPr>
        <w:br w:type="page"/>
      </w:r>
      <w:bookmarkStart w:id="0" w:name="_GoBack"/>
      <w:bookmarkEnd w:id="0"/>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lastRenderedPageBreak/>
              <w:t xml:space="preserve">For further information </w:t>
            </w:r>
          </w:p>
          <w:p w:rsidR="00D166AC" w:rsidRDefault="00436666" w:rsidP="0034191A">
            <w:pPr>
              <w:pStyle w:val="HeadlineKontakte"/>
            </w:pPr>
            <w:r w:rsidRPr="00B23868">
              <w:rPr>
                <w:rFonts w:ascii="Verdana" w:eastAsia="Calibri" w:hAnsi="Verdana" w:cs="Times New Roman"/>
                <w:caps w:val="0"/>
                <w:szCs w:val="22"/>
              </w:rPr>
              <w:t>please contact</w:t>
            </w:r>
            <w:r w:rsidR="002844EF">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w:t>
            </w:r>
            <w:proofErr w:type="spellStart"/>
            <w:r>
              <w:t>Strasse</w:t>
            </w:r>
            <w:proofErr w:type="spellEnd"/>
            <w:r>
              <w:t xml:space="preserv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Germany</w:t>
            </w:r>
          </w:p>
          <w:p w:rsidR="008D4AE7" w:rsidRDefault="008D4AE7" w:rsidP="008D4AE7">
            <w:pPr>
              <w:pStyle w:val="Text"/>
            </w:pPr>
          </w:p>
          <w:p w:rsidR="008D4AE7" w:rsidRDefault="008D4AE7" w:rsidP="008D4AE7">
            <w:pPr>
              <w:pStyle w:val="Text"/>
            </w:pPr>
            <w:r>
              <w:t>Phone: +49 (0) 2645 131 – 4510</w:t>
            </w:r>
          </w:p>
          <w:p w:rsidR="008D4AE7" w:rsidRDefault="008D4AE7" w:rsidP="008D4AE7">
            <w:pPr>
              <w:pStyle w:val="Text"/>
            </w:pPr>
            <w:r>
              <w:t>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D62" w:rsidRDefault="00907D62" w:rsidP="00E55534">
      <w:r>
        <w:separator/>
      </w:r>
    </w:p>
  </w:endnote>
  <w:endnote w:type="continuationSeparator" w:id="0">
    <w:p w:rsidR="00907D62" w:rsidRDefault="00907D6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631D1">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7E5380C8" wp14:editId="648066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D768A7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0FEE727F" wp14:editId="49AB2BAE">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54FCEA4"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D62" w:rsidRDefault="00907D62" w:rsidP="00E55534">
      <w:r>
        <w:separator/>
      </w:r>
    </w:p>
  </w:footnote>
  <w:footnote w:type="continuationSeparator" w:id="0">
    <w:p w:rsidR="00907D62" w:rsidRDefault="00907D6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41423611" wp14:editId="2420F96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200BB17E" wp14:editId="7BA4EB8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0ECF2E4" wp14:editId="1D2EBB9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C997A8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1C5501BE" wp14:editId="0430977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F79F6C7"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572E6D1E" wp14:editId="2B1CF20A">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107E30D1" wp14:editId="54238AD5">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00pt;height:1500pt" o:bullet="t">
        <v:imagedata r:id="rId1" o:title="AZ_04a"/>
      </v:shape>
    </w:pict>
  </w:numPicBullet>
  <w:numPicBullet w:numPicBulletId="1">
    <w:pict>
      <v:shape id="_x0000_i1037"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D62"/>
    <w:rsid w:val="00034600"/>
    <w:rsid w:val="00042106"/>
    <w:rsid w:val="0005285B"/>
    <w:rsid w:val="00066D09"/>
    <w:rsid w:val="0009665C"/>
    <w:rsid w:val="000E2697"/>
    <w:rsid w:val="00103205"/>
    <w:rsid w:val="0012026F"/>
    <w:rsid w:val="00132055"/>
    <w:rsid w:val="0014683F"/>
    <w:rsid w:val="00164D1A"/>
    <w:rsid w:val="001B16BB"/>
    <w:rsid w:val="00244981"/>
    <w:rsid w:val="00253A2E"/>
    <w:rsid w:val="002844EF"/>
    <w:rsid w:val="0029634D"/>
    <w:rsid w:val="002E765F"/>
    <w:rsid w:val="002F108B"/>
    <w:rsid w:val="00315603"/>
    <w:rsid w:val="0034191A"/>
    <w:rsid w:val="00343CC7"/>
    <w:rsid w:val="00384A08"/>
    <w:rsid w:val="00391A3F"/>
    <w:rsid w:val="003A753A"/>
    <w:rsid w:val="003E1CB6"/>
    <w:rsid w:val="003E3CF6"/>
    <w:rsid w:val="003E759F"/>
    <w:rsid w:val="00403373"/>
    <w:rsid w:val="00406C81"/>
    <w:rsid w:val="00412545"/>
    <w:rsid w:val="00430BB0"/>
    <w:rsid w:val="00436666"/>
    <w:rsid w:val="00463D7D"/>
    <w:rsid w:val="00476F4D"/>
    <w:rsid w:val="00506409"/>
    <w:rsid w:val="00530E32"/>
    <w:rsid w:val="005711A3"/>
    <w:rsid w:val="00573B2B"/>
    <w:rsid w:val="005A4F04"/>
    <w:rsid w:val="005B3697"/>
    <w:rsid w:val="005B5793"/>
    <w:rsid w:val="006330A2"/>
    <w:rsid w:val="00642EB6"/>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07D62"/>
    <w:rsid w:val="009A7E90"/>
    <w:rsid w:val="009C2378"/>
    <w:rsid w:val="009D016F"/>
    <w:rsid w:val="009E251D"/>
    <w:rsid w:val="00A171F4"/>
    <w:rsid w:val="00A24EFC"/>
    <w:rsid w:val="00A80677"/>
    <w:rsid w:val="00A977CE"/>
    <w:rsid w:val="00AD131F"/>
    <w:rsid w:val="00AF3B3A"/>
    <w:rsid w:val="00AF6569"/>
    <w:rsid w:val="00B06265"/>
    <w:rsid w:val="00B5695F"/>
    <w:rsid w:val="00B631D1"/>
    <w:rsid w:val="00B90F78"/>
    <w:rsid w:val="00BD1058"/>
    <w:rsid w:val="00BF56B2"/>
    <w:rsid w:val="00C03396"/>
    <w:rsid w:val="00C1451A"/>
    <w:rsid w:val="00C457C3"/>
    <w:rsid w:val="00C644CA"/>
    <w:rsid w:val="00C73005"/>
    <w:rsid w:val="00CB718A"/>
    <w:rsid w:val="00CF36C9"/>
    <w:rsid w:val="00D166AC"/>
    <w:rsid w:val="00D24067"/>
    <w:rsid w:val="00E14608"/>
    <w:rsid w:val="00E21E67"/>
    <w:rsid w:val="00E30EBF"/>
    <w:rsid w:val="00E52D70"/>
    <w:rsid w:val="00E55534"/>
    <w:rsid w:val="00E914D1"/>
    <w:rsid w:val="00EF3946"/>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07D62"/>
    <w:rPr>
      <w:sz w:val="16"/>
      <w:szCs w:val="16"/>
    </w:rPr>
  </w:style>
  <w:style w:type="paragraph" w:styleId="Kommentartext">
    <w:name w:val="annotation text"/>
    <w:basedOn w:val="Standard"/>
    <w:link w:val="KommentartextZchn"/>
    <w:uiPriority w:val="99"/>
    <w:semiHidden/>
    <w:unhideWhenUsed/>
    <w:rsid w:val="00907D62"/>
    <w:pPr>
      <w:spacing w:after="200"/>
    </w:pPr>
    <w:rPr>
      <w:rFonts w:asciiTheme="majorHAnsi" w:hAnsiTheme="majorHAnsi" w:cstheme="majorBidi"/>
      <w:sz w:val="20"/>
      <w:szCs w:val="20"/>
    </w:rPr>
  </w:style>
  <w:style w:type="character" w:customStyle="1" w:styleId="KommentartextZchn">
    <w:name w:val="Kommentartext Zchn"/>
    <w:basedOn w:val="Absatz-Standardschriftart"/>
    <w:link w:val="Kommentartext"/>
    <w:uiPriority w:val="99"/>
    <w:semiHidden/>
    <w:rsid w:val="00907D62"/>
    <w:rPr>
      <w:rFonts w:asciiTheme="majorHAnsi" w:hAnsiTheme="majorHAnsi" w:cstheme="majorBidi"/>
      <w:sz w:val="20"/>
      <w:szCs w:val="20"/>
    </w:rPr>
  </w:style>
  <w:style w:type="paragraph" w:styleId="Kommentarthema">
    <w:name w:val="annotation subject"/>
    <w:basedOn w:val="Kommentartext"/>
    <w:next w:val="Kommentartext"/>
    <w:link w:val="KommentarthemaZchn"/>
    <w:uiPriority w:val="99"/>
    <w:semiHidden/>
    <w:unhideWhenUsed/>
    <w:rsid w:val="00391A3F"/>
    <w:pPr>
      <w:spacing w:after="0"/>
    </w:pPr>
    <w:rPr>
      <w:rFonts w:asciiTheme="minorHAnsi" w:hAnsiTheme="minorHAnsi" w:cstheme="minorBidi"/>
      <w:b/>
      <w:bCs/>
    </w:rPr>
  </w:style>
  <w:style w:type="character" w:customStyle="1" w:styleId="KommentarthemaZchn">
    <w:name w:val="Kommentarthema Zchn"/>
    <w:basedOn w:val="KommentartextZchn"/>
    <w:link w:val="Kommentarthema"/>
    <w:uiPriority w:val="99"/>
    <w:semiHidden/>
    <w:rsid w:val="00391A3F"/>
    <w:rPr>
      <w:rFonts w:asciiTheme="majorHAnsi" w:hAnsiTheme="majorHAnsi" w:cstheme="majorBid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07D62"/>
    <w:rPr>
      <w:sz w:val="16"/>
      <w:szCs w:val="16"/>
    </w:rPr>
  </w:style>
  <w:style w:type="paragraph" w:styleId="Kommentartext">
    <w:name w:val="annotation text"/>
    <w:basedOn w:val="Standard"/>
    <w:link w:val="KommentartextZchn"/>
    <w:uiPriority w:val="99"/>
    <w:semiHidden/>
    <w:unhideWhenUsed/>
    <w:rsid w:val="00907D62"/>
    <w:pPr>
      <w:spacing w:after="200"/>
    </w:pPr>
    <w:rPr>
      <w:rFonts w:asciiTheme="majorHAnsi" w:hAnsiTheme="majorHAnsi" w:cstheme="majorBidi"/>
      <w:sz w:val="20"/>
      <w:szCs w:val="20"/>
    </w:rPr>
  </w:style>
  <w:style w:type="character" w:customStyle="1" w:styleId="KommentartextZchn">
    <w:name w:val="Kommentartext Zchn"/>
    <w:basedOn w:val="Absatz-Standardschriftart"/>
    <w:link w:val="Kommentartext"/>
    <w:uiPriority w:val="99"/>
    <w:semiHidden/>
    <w:rsid w:val="00907D62"/>
    <w:rPr>
      <w:rFonts w:asciiTheme="majorHAnsi" w:hAnsiTheme="majorHAnsi" w:cstheme="majorBidi"/>
      <w:sz w:val="20"/>
      <w:szCs w:val="20"/>
    </w:rPr>
  </w:style>
  <w:style w:type="paragraph" w:styleId="Kommentarthema">
    <w:name w:val="annotation subject"/>
    <w:basedOn w:val="Kommentartext"/>
    <w:next w:val="Kommentartext"/>
    <w:link w:val="KommentarthemaZchn"/>
    <w:uiPriority w:val="99"/>
    <w:semiHidden/>
    <w:unhideWhenUsed/>
    <w:rsid w:val="00391A3F"/>
    <w:pPr>
      <w:spacing w:after="0"/>
    </w:pPr>
    <w:rPr>
      <w:rFonts w:asciiTheme="minorHAnsi" w:hAnsiTheme="minorHAnsi" w:cstheme="minorBidi"/>
      <w:b/>
      <w:bCs/>
    </w:rPr>
  </w:style>
  <w:style w:type="character" w:customStyle="1" w:styleId="KommentarthemaZchn">
    <w:name w:val="Kommentarthema Zchn"/>
    <w:basedOn w:val="KommentartextZchn"/>
    <w:link w:val="Kommentarthema"/>
    <w:uiPriority w:val="99"/>
    <w:semiHidden/>
    <w:rsid w:val="00391A3F"/>
    <w:rPr>
      <w:rFonts w:asciiTheme="majorHAnsi" w:hAnsiTheme="majorHAnsi" w:cstheme="maj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C9793-DBF5-4982-85A5-2A77999C1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383</Words>
  <Characters>2415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cp:revision>
  <dcterms:created xsi:type="dcterms:W3CDTF">2019-06-27T09:32:00Z</dcterms:created>
  <dcterms:modified xsi:type="dcterms:W3CDTF">2019-06-27T09:37:00Z</dcterms:modified>
</cp:coreProperties>
</file>