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1001C" w:rsidRPr="006F5401" w:rsidRDefault="0071001C" w:rsidP="001168F7">
      <w:pPr>
        <w:pStyle w:val="Titel1"/>
      </w:pPr>
      <w:r w:rsidRPr="006F5401">
        <w:t xml:space="preserve">Nouveaux </w:t>
      </w:r>
      <w:r w:rsidR="00853526" w:rsidRPr="0006523A">
        <w:t>porte outils et outils</w:t>
      </w:r>
      <w:r w:rsidR="00853526" w:rsidRPr="00060F00">
        <w:t xml:space="preserve"> </w:t>
      </w:r>
      <w:r w:rsidR="00853526" w:rsidRPr="0006523A">
        <w:t>d’attaque</w:t>
      </w:r>
      <w:r w:rsidRPr="006F5401">
        <w:t xml:space="preserve"> pour les recycleurs à froid et stabilisateurs de sol de Wirtgen </w:t>
      </w:r>
    </w:p>
    <w:p w:rsidR="0071001C" w:rsidRPr="006F5401" w:rsidRDefault="0071001C" w:rsidP="00BF54E8"/>
    <w:p w:rsidR="0071001C" w:rsidRPr="006F5401" w:rsidRDefault="0071001C" w:rsidP="00417CC7">
      <w:pPr>
        <w:pStyle w:val="Subtitel1"/>
        <w:jc w:val="both"/>
      </w:pPr>
      <w:r w:rsidRPr="006F5401">
        <w:t xml:space="preserve">Le </w:t>
      </w:r>
      <w:proofErr w:type="spellStart"/>
      <w:r w:rsidRPr="006F5401">
        <w:t>bauma</w:t>
      </w:r>
      <w:proofErr w:type="spellEnd"/>
      <w:r w:rsidRPr="006F5401">
        <w:t xml:space="preserve"> 2016 est pour Wirtgen l’occasion de présenter sa gamme de produits de recyclage à froid et de stabilisation de sol - la plus grande du monde. Outre les machines, </w:t>
      </w:r>
      <w:r>
        <w:t xml:space="preserve">la sélection des bons </w:t>
      </w:r>
      <w:r w:rsidRPr="006F5401">
        <w:t xml:space="preserve">outils de taille est d’une importance cruciale pour la qualité et la rentabilité d’un chantier. C’est pourquoi Wirtgen </w:t>
      </w:r>
      <w:r>
        <w:t>vient</w:t>
      </w:r>
      <w:r w:rsidRPr="006F5401">
        <w:t xml:space="preserve"> </w:t>
      </w:r>
      <w:r>
        <w:t>encore d’optimiser</w:t>
      </w:r>
      <w:r w:rsidRPr="006F5401">
        <w:t xml:space="preserve"> sa large palette </w:t>
      </w:r>
      <w:r w:rsidR="00060F00">
        <w:t>d’outils d’attaque.</w:t>
      </w:r>
    </w:p>
    <w:p w:rsidR="0071001C" w:rsidRPr="006F5401" w:rsidRDefault="0071001C" w:rsidP="00417CC7">
      <w:pPr>
        <w:pStyle w:val="Subtitel1"/>
        <w:jc w:val="both"/>
      </w:pPr>
    </w:p>
    <w:p w:rsidR="0071001C" w:rsidRPr="006F5401" w:rsidRDefault="0071001C" w:rsidP="00536FAA">
      <w:pPr>
        <w:jc w:val="both"/>
      </w:pPr>
      <w:r w:rsidRPr="006F5401">
        <w:t xml:space="preserve">Chaque sol est unique. </w:t>
      </w:r>
      <w:r>
        <w:t>Dans certains cas</w:t>
      </w:r>
      <w:r w:rsidRPr="006F5401">
        <w:t xml:space="preserve">, des gravats ou de gros blocs rocheux </w:t>
      </w:r>
      <w:r>
        <w:t>compliquent</w:t>
      </w:r>
      <w:r w:rsidRPr="006F5401">
        <w:t xml:space="preserve"> </w:t>
      </w:r>
      <w:r>
        <w:t xml:space="preserve">les travaux de </w:t>
      </w:r>
      <w:r w:rsidRPr="006F5401">
        <w:t xml:space="preserve">stabilisation du sol, et </w:t>
      </w:r>
      <w:r>
        <w:t>dans d’autres</w:t>
      </w:r>
      <w:r w:rsidRPr="006F5401">
        <w:t xml:space="preserve">, la couche de base à rénover contient des matériaux abrasifs. Bref, non seulement l’enrobé ou le matériau à fraiser </w:t>
      </w:r>
      <w:r>
        <w:t>diffère</w:t>
      </w:r>
      <w:r w:rsidRPr="006F5401">
        <w:t xml:space="preserve"> énormément d’un sol à l’autre, mais les </w:t>
      </w:r>
      <w:r>
        <w:t xml:space="preserve">forces auxquelles sont soumis </w:t>
      </w:r>
      <w:r w:rsidRPr="006F5401">
        <w:t>le rotor de fraisage et de malaxage</w:t>
      </w:r>
      <w:r w:rsidRPr="007874EA">
        <w:t xml:space="preserve"> </w:t>
      </w:r>
      <w:r>
        <w:t>sont elles aussi d’intensité variable</w:t>
      </w:r>
      <w:r w:rsidRPr="006F5401">
        <w:t xml:space="preserve">. Pour les chantiers particulièrement rudes, Wirtgen a désormais conçu les pics à queue ronde de la nouvelle GÉNÉRATION Z ainsi que le système à porte-outils interchangeables HT22, deux innovations parfaitement coordonnées entre elles. Mais qu’est-ce que cela signifie dans les </w:t>
      </w:r>
      <w:r w:rsidRPr="00C7489D">
        <w:t>faits</w:t>
      </w:r>
      <w:r w:rsidRPr="006F5401">
        <w:t> ?</w:t>
      </w:r>
    </w:p>
    <w:p w:rsidR="0071001C" w:rsidRPr="006F5401" w:rsidRDefault="0071001C" w:rsidP="00536FAA">
      <w:pPr>
        <w:jc w:val="both"/>
      </w:pPr>
    </w:p>
    <w:p w:rsidR="0071001C" w:rsidRPr="006F5401" w:rsidRDefault="0071001C" w:rsidP="00536FAA">
      <w:pPr>
        <w:jc w:val="both"/>
        <w:rPr>
          <w:b/>
        </w:rPr>
      </w:pPr>
      <w:r w:rsidRPr="006F5401">
        <w:rPr>
          <w:b/>
        </w:rPr>
        <w:t>GÉNÉRATION Z + HT22 : un duo de choc pour une longévité maximum</w:t>
      </w:r>
    </w:p>
    <w:p w:rsidR="0071001C" w:rsidRPr="006F5401" w:rsidRDefault="0071001C" w:rsidP="00536FAA">
      <w:pPr>
        <w:jc w:val="both"/>
      </w:pPr>
      <w:r w:rsidRPr="006F5401">
        <w:t xml:space="preserve">Premièrement : une </w:t>
      </w:r>
      <w:r>
        <w:t xml:space="preserve">meilleure </w:t>
      </w:r>
      <w:r w:rsidRPr="006F5401">
        <w:t>résistance aux chocs. Ainsi, les pics à queue ronde de la GÉNÉRATION Z</w:t>
      </w:r>
      <w:r w:rsidR="00060F00">
        <w:t xml:space="preserve"> ont une nouvelle forme de pointe carbure, renforcée et à la géométrie optimisée</w:t>
      </w:r>
      <w:r w:rsidRPr="006F5401">
        <w:t>. Le pic est donc encore plus résistant à la rupture et aux chocs en présence de grands blocs rocheux et de matériaux abrasifs.</w:t>
      </w:r>
    </w:p>
    <w:p w:rsidR="0071001C" w:rsidRPr="006F5401" w:rsidRDefault="0071001C" w:rsidP="00536FAA">
      <w:pPr>
        <w:jc w:val="both"/>
      </w:pPr>
    </w:p>
    <w:p w:rsidR="0071001C" w:rsidRPr="006F5401" w:rsidRDefault="0071001C" w:rsidP="00536FAA">
      <w:pPr>
        <w:jc w:val="both"/>
      </w:pPr>
      <w:r w:rsidRPr="006F5401">
        <w:t>Deuxièmement : une usure réduite. Le corps en acier, la rondelle d’usure et la douille de serrage ont également fait l’objet de modifications dans les</w:t>
      </w:r>
      <w:r w:rsidR="00060F00">
        <w:t xml:space="preserve"> moindres</w:t>
      </w:r>
      <w:r w:rsidRPr="006F5401">
        <w:t xml:space="preserve"> détails. Tous les composants de la GÉNÉRATION Z ont donc une durée de vie plus longue. Ayant la possibilité d’utiliser des pics à queue soit de </w:t>
      </w:r>
      <w:smartTag w:uri="urn:schemas-microsoft-com:office:smarttags" w:element="metricconverter">
        <w:smartTagPr>
          <w:attr w:name="ProductID" w:val="22 mm"/>
        </w:smartTagPr>
        <w:r w:rsidRPr="006F5401">
          <w:t>22 mm</w:t>
        </w:r>
      </w:smartTag>
      <w:r w:rsidRPr="006F5401">
        <w:t xml:space="preserve">, soit de </w:t>
      </w:r>
      <w:smartTag w:uri="urn:schemas-microsoft-com:office:smarttags" w:element="metricconverter">
        <w:smartTagPr>
          <w:attr w:name="ProductID" w:val="25 mm"/>
        </w:smartTagPr>
        <w:r w:rsidRPr="006F5401">
          <w:t>25 mm</w:t>
        </w:r>
      </w:smartTag>
      <w:r w:rsidRPr="006F5401">
        <w:t xml:space="preserve"> de diamètre, les utilisateurs peuvent réagir de manière ciblée aux exigences les plus diverses.  </w:t>
      </w:r>
    </w:p>
    <w:p w:rsidR="0071001C" w:rsidRPr="006F5401" w:rsidRDefault="0071001C" w:rsidP="00536FAA">
      <w:pPr>
        <w:jc w:val="both"/>
      </w:pPr>
    </w:p>
    <w:p w:rsidR="0071001C" w:rsidRPr="006F5401" w:rsidRDefault="0071001C" w:rsidP="00536FAA">
      <w:pPr>
        <w:jc w:val="both"/>
      </w:pPr>
      <w:r w:rsidRPr="006F5401">
        <w:t xml:space="preserve">Troisièmement : une stabilité accrue. Le système à porte-outils interchangeables HT22 est le résultat d’un tout nouveau développement. Les composants système que sont la nervure, la partie inférieure et la partie supérieure </w:t>
      </w:r>
      <w:proofErr w:type="gramStart"/>
      <w:r w:rsidRPr="006F5401">
        <w:t>du porte-outils</w:t>
      </w:r>
      <w:proofErr w:type="gramEnd"/>
      <w:r w:rsidRPr="006F5401">
        <w:t xml:space="preserve"> sont extrêmement robustes grâce à la nouvelle géométrie et à la qualité de l’acier. La </w:t>
      </w:r>
      <w:r w:rsidRPr="006F5401">
        <w:lastRenderedPageBreak/>
        <w:t>tête marteau de la nervure nouvellement conçue fait office de protection supplémentaire contre l’usure.</w:t>
      </w:r>
    </w:p>
    <w:p w:rsidR="0071001C" w:rsidRPr="006F5401" w:rsidRDefault="0071001C" w:rsidP="00536FAA">
      <w:pPr>
        <w:jc w:val="both"/>
      </w:pPr>
    </w:p>
    <w:p w:rsidR="0071001C" w:rsidRPr="006F5401" w:rsidRDefault="0071001C" w:rsidP="00715AF9">
      <w:pPr>
        <w:jc w:val="both"/>
      </w:pPr>
      <w:r w:rsidRPr="006F5401">
        <w:t xml:space="preserve">Au final, pour l’utilisateur, cela signifie d’emblée une plus grande durée de vie des pics et du système à porte-outils interchangeables. Les avantages qui en résultent – changements des pics moins fréquents, temps d’arrêt réduits, intervalles de maintenance rallongés et meilleure disponibilité des machines – permettent de stabiliser en toute rentabilité même les sols les plus difficiles et de recycler en toute efficacité même les chaussées les plus endommagées. </w:t>
      </w:r>
    </w:p>
    <w:p w:rsidR="0071001C" w:rsidRPr="006F5401" w:rsidRDefault="0071001C" w:rsidP="00715AF9">
      <w:pPr>
        <w:jc w:val="both"/>
      </w:pPr>
    </w:p>
    <w:p w:rsidR="0071001C" w:rsidRPr="006F5401" w:rsidRDefault="0071001C" w:rsidP="00536FAA">
      <w:pPr>
        <w:jc w:val="both"/>
        <w:rPr>
          <w:b/>
        </w:rPr>
      </w:pPr>
      <w:r w:rsidRPr="006F5401">
        <w:rPr>
          <w:b/>
        </w:rPr>
        <w:t xml:space="preserve">Disponibles pour tous les recycleurs </w:t>
      </w:r>
      <w:r>
        <w:rPr>
          <w:b/>
        </w:rPr>
        <w:t xml:space="preserve">sur roues </w:t>
      </w:r>
      <w:r w:rsidRPr="006F5401">
        <w:rPr>
          <w:b/>
        </w:rPr>
        <w:t xml:space="preserve">et stabilisateurs rapportés de Wirtgen </w:t>
      </w:r>
    </w:p>
    <w:p w:rsidR="0071001C" w:rsidRPr="006F5401" w:rsidRDefault="0071001C" w:rsidP="00536FAA">
      <w:pPr>
        <w:jc w:val="both"/>
      </w:pPr>
      <w:r w:rsidRPr="006F5401">
        <w:t xml:space="preserve">Ce système a </w:t>
      </w:r>
      <w:r>
        <w:t>démontré sa fiabilité</w:t>
      </w:r>
      <w:r w:rsidRPr="006F5401">
        <w:t xml:space="preserve"> non seulement lors d’essais approfondis mais aussi pendant plus de 15 000 heures de service dans différentes applications. Le duo GÉNÉRATION Z + HT22 est disponible pour tous les recycleurs à froid et stabilisateurs mobiles sur roues de la série WR (WR 200i, WR 240i, WR 250) et pour tous les stabilisateurs rapportés de la série WS (WS 220, WS 250).</w:t>
      </w:r>
    </w:p>
    <w:p w:rsidR="0071001C" w:rsidRPr="006F5401" w:rsidRDefault="0071001C" w:rsidP="00536FAA">
      <w:pPr>
        <w:jc w:val="both"/>
      </w:pPr>
    </w:p>
    <w:p w:rsidR="0071001C" w:rsidRPr="006F5401" w:rsidRDefault="0071001C" w:rsidP="00536FAA">
      <w:pPr>
        <w:jc w:val="both"/>
      </w:pPr>
    </w:p>
    <w:p w:rsidR="0071001C" w:rsidRPr="006F5401" w:rsidRDefault="000F64D9" w:rsidP="005F1786">
      <w:pPr>
        <w:pStyle w:val="Subtitel-Unterstrichen1"/>
      </w:pPr>
      <w:r>
        <w:t>Fotos</w:t>
      </w:r>
      <w:r w:rsidR="0071001C" w:rsidRPr="006F5401">
        <w:t> :</w:t>
      </w:r>
    </w:p>
    <w:p w:rsidR="0071001C" w:rsidRPr="006F5401" w:rsidRDefault="0071001C" w:rsidP="00BF54E8"/>
    <w:tbl>
      <w:tblPr>
        <w:tblW w:w="9639" w:type="dxa"/>
        <w:tblBorders>
          <w:insideV w:val="single" w:sz="2" w:space="0" w:color="auto"/>
        </w:tblBorders>
        <w:tblLayout w:type="fixed"/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4824"/>
        <w:gridCol w:w="4815"/>
      </w:tblGrid>
      <w:tr w:rsidR="0071001C" w:rsidRPr="006F5401" w:rsidTr="007002EA">
        <w:tc>
          <w:tcPr>
            <w:tcW w:w="4824" w:type="dxa"/>
            <w:vAlign w:val="center"/>
          </w:tcPr>
          <w:p w:rsidR="0071001C" w:rsidRPr="006F5401" w:rsidRDefault="0071001C" w:rsidP="007002EA">
            <w:pPr>
              <w:spacing w:line="240" w:lineRule="auto"/>
              <w:rPr>
                <w:sz w:val="20"/>
              </w:rPr>
            </w:pPr>
            <w:r w:rsidRPr="006F5401">
              <w:rPr>
                <w:sz w:val="20"/>
              </w:rPr>
              <w:t xml:space="preserve">     </w:t>
            </w:r>
            <w:r w:rsidR="00CF13DA">
              <w:rPr>
                <w:noProof/>
                <w:sz w:val="20"/>
                <w:szCs w:val="20"/>
                <w:lang w:val="de-DE" w:eastAsia="de-DE"/>
              </w:rPr>
              <w:drawing>
                <wp:inline distT="0" distB="0" distL="0" distR="0" wp14:anchorId="5DE655B2" wp14:editId="687270CB">
                  <wp:extent cx="1513840" cy="1780540"/>
                  <wp:effectExtent l="19050" t="0" r="0" b="0"/>
                  <wp:docPr id="5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3840" cy="17805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5" w:type="dxa"/>
            <w:vAlign w:val="center"/>
          </w:tcPr>
          <w:p w:rsidR="0071001C" w:rsidRPr="006F5401" w:rsidRDefault="0071001C" w:rsidP="007002EA">
            <w:pPr>
              <w:pStyle w:val="Subtitel1"/>
              <w:spacing w:line="240" w:lineRule="auto"/>
              <w:rPr>
                <w:sz w:val="20"/>
              </w:rPr>
            </w:pPr>
            <w:r w:rsidRPr="006F5401">
              <w:rPr>
                <w:sz w:val="20"/>
              </w:rPr>
              <w:t>GÉNÉRATION Z + HT22</w:t>
            </w:r>
          </w:p>
          <w:p w:rsidR="0071001C" w:rsidRPr="006F5401" w:rsidRDefault="0071001C" w:rsidP="007002EA">
            <w:pPr>
              <w:spacing w:line="240" w:lineRule="auto"/>
              <w:rPr>
                <w:sz w:val="20"/>
              </w:rPr>
            </w:pPr>
          </w:p>
          <w:p w:rsidR="0071001C" w:rsidRPr="006F5401" w:rsidRDefault="0071001C" w:rsidP="007002EA">
            <w:pPr>
              <w:spacing w:line="240" w:lineRule="auto"/>
              <w:rPr>
                <w:sz w:val="20"/>
              </w:rPr>
            </w:pPr>
            <w:proofErr w:type="gramStart"/>
            <w:r w:rsidRPr="006F5401">
              <w:rPr>
                <w:sz w:val="20"/>
              </w:rPr>
              <w:t>Le pics</w:t>
            </w:r>
            <w:proofErr w:type="gramEnd"/>
            <w:r w:rsidRPr="006F5401">
              <w:rPr>
                <w:sz w:val="20"/>
              </w:rPr>
              <w:t xml:space="preserve"> à queue ronde Wirtgen de la GÉNÉRATION Z et le système à porte-outils interchangeables HT22 ont été spécialement conçus pour répondre aux exigences des chantiers de recyclage à froid et de stabilisation de sol. Ils permettent de s’attaquer en toute rentabilité aux couches de base et aux sols les plus difficiles. Des pics à queue de </w:t>
            </w:r>
            <w:smartTag w:uri="urn:schemas-microsoft-com:office:smarttags" w:element="metricconverter">
              <w:smartTagPr>
                <w:attr w:name="ProductID" w:val="22 mm"/>
              </w:smartTagPr>
              <w:r w:rsidRPr="006F5401">
                <w:rPr>
                  <w:sz w:val="20"/>
                </w:rPr>
                <w:t>22 mm</w:t>
              </w:r>
            </w:smartTag>
            <w:r w:rsidRPr="006F5401">
              <w:rPr>
                <w:sz w:val="20"/>
              </w:rPr>
              <w:t xml:space="preserve"> ou de </w:t>
            </w:r>
            <w:smartTag w:uri="urn:schemas-microsoft-com:office:smarttags" w:element="metricconverter">
              <w:smartTagPr>
                <w:attr w:name="ProductID" w:val="25 mm"/>
              </w:smartTagPr>
              <w:r w:rsidRPr="006F5401">
                <w:rPr>
                  <w:sz w:val="20"/>
                </w:rPr>
                <w:t>25 mm</w:t>
              </w:r>
            </w:smartTag>
            <w:r w:rsidRPr="006F5401">
              <w:rPr>
                <w:sz w:val="20"/>
              </w:rPr>
              <w:t xml:space="preserve"> de diamètre sont disponibles selon les exigences requises.</w:t>
            </w:r>
          </w:p>
        </w:tc>
      </w:tr>
    </w:tbl>
    <w:p w:rsidR="0071001C" w:rsidRPr="006F5401" w:rsidRDefault="0071001C" w:rsidP="00BF54E8"/>
    <w:tbl>
      <w:tblPr>
        <w:tblW w:w="9639" w:type="dxa"/>
        <w:tblBorders>
          <w:insideV w:val="single" w:sz="2" w:space="0" w:color="auto"/>
        </w:tblBorders>
        <w:tblLayout w:type="fixed"/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4824"/>
        <w:gridCol w:w="4815"/>
      </w:tblGrid>
      <w:tr w:rsidR="0071001C" w:rsidRPr="006F5401" w:rsidTr="007002EA">
        <w:tc>
          <w:tcPr>
            <w:tcW w:w="4824" w:type="dxa"/>
            <w:vAlign w:val="center"/>
          </w:tcPr>
          <w:p w:rsidR="0071001C" w:rsidRPr="006F5401" w:rsidRDefault="0071001C" w:rsidP="007002EA">
            <w:pPr>
              <w:spacing w:line="240" w:lineRule="auto"/>
              <w:rPr>
                <w:sz w:val="20"/>
              </w:rPr>
            </w:pPr>
            <w:r w:rsidRPr="006F5401">
              <w:rPr>
                <w:sz w:val="20"/>
              </w:rPr>
              <w:lastRenderedPageBreak/>
              <w:t xml:space="preserve">     </w:t>
            </w:r>
            <w:r w:rsidR="00CF13DA">
              <w:rPr>
                <w:noProof/>
                <w:sz w:val="20"/>
                <w:szCs w:val="20"/>
                <w:lang w:val="de-DE" w:eastAsia="de-DE"/>
              </w:rPr>
              <w:drawing>
                <wp:inline distT="0" distB="0" distL="0" distR="0" wp14:anchorId="66D014BA" wp14:editId="57B8095C">
                  <wp:extent cx="2107565" cy="1628775"/>
                  <wp:effectExtent l="19050" t="0" r="6985" b="0"/>
                  <wp:docPr id="4" name="Bild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7565" cy="1628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5" w:type="dxa"/>
            <w:vAlign w:val="center"/>
          </w:tcPr>
          <w:p w:rsidR="0071001C" w:rsidRPr="006F5401" w:rsidRDefault="0071001C" w:rsidP="007002EA">
            <w:pPr>
              <w:pStyle w:val="Subtitel1"/>
              <w:spacing w:line="240" w:lineRule="auto"/>
              <w:rPr>
                <w:sz w:val="20"/>
              </w:rPr>
            </w:pPr>
            <w:r w:rsidRPr="006F5401">
              <w:rPr>
                <w:sz w:val="20"/>
              </w:rPr>
              <w:t>WR240i_00440_HI</w:t>
            </w:r>
          </w:p>
          <w:p w:rsidR="0071001C" w:rsidRPr="006F5401" w:rsidRDefault="0071001C" w:rsidP="007002EA">
            <w:pPr>
              <w:spacing w:line="240" w:lineRule="auto"/>
              <w:rPr>
                <w:sz w:val="20"/>
              </w:rPr>
            </w:pPr>
          </w:p>
          <w:p w:rsidR="0071001C" w:rsidRPr="006F5401" w:rsidRDefault="0071001C" w:rsidP="007002EA">
            <w:pPr>
              <w:spacing w:line="240" w:lineRule="auto"/>
              <w:rPr>
                <w:sz w:val="20"/>
              </w:rPr>
            </w:pPr>
            <w:r w:rsidRPr="006F5401">
              <w:rPr>
                <w:sz w:val="20"/>
              </w:rPr>
              <w:t>Lors de travaux de recyclage à froid, l</w:t>
            </w:r>
            <w:r w:rsidR="00060F00">
              <w:rPr>
                <w:sz w:val="20"/>
              </w:rPr>
              <w:t>a</w:t>
            </w:r>
            <w:r w:rsidRPr="006F5401">
              <w:rPr>
                <w:sz w:val="20"/>
              </w:rPr>
              <w:t xml:space="preserve"> Wirtgen </w:t>
            </w:r>
            <w:proofErr w:type="spellStart"/>
            <w:r w:rsidRPr="006F5401">
              <w:rPr>
                <w:sz w:val="20"/>
              </w:rPr>
              <w:t>WR</w:t>
            </w:r>
            <w:proofErr w:type="spellEnd"/>
            <w:r w:rsidRPr="006F5401">
              <w:rPr>
                <w:sz w:val="20"/>
              </w:rPr>
              <w:t xml:space="preserve"> </w:t>
            </w:r>
            <w:proofErr w:type="spellStart"/>
            <w:r w:rsidRPr="006F5401">
              <w:rPr>
                <w:sz w:val="20"/>
              </w:rPr>
              <w:t>240i</w:t>
            </w:r>
            <w:proofErr w:type="spellEnd"/>
            <w:r w:rsidRPr="006F5401">
              <w:rPr>
                <w:sz w:val="20"/>
              </w:rPr>
              <w:t xml:space="preserve"> produit des couches de base </w:t>
            </w:r>
            <w:r>
              <w:rPr>
                <w:sz w:val="20"/>
              </w:rPr>
              <w:t xml:space="preserve">de haute qualité </w:t>
            </w:r>
            <w:r w:rsidRPr="006F5401">
              <w:rPr>
                <w:sz w:val="20"/>
              </w:rPr>
              <w:t xml:space="preserve">en recyclant dans son intégralité le matériau </w:t>
            </w:r>
            <w:r>
              <w:rPr>
                <w:sz w:val="20"/>
              </w:rPr>
              <w:t>existant</w:t>
            </w:r>
            <w:r w:rsidRPr="006F5401">
              <w:rPr>
                <w:sz w:val="20"/>
              </w:rPr>
              <w:t>. Les outils de taille de la GÉNÉRATION Z et le système HT22 rendent la réfection de la chaussée encore plus rentable.</w:t>
            </w:r>
          </w:p>
        </w:tc>
      </w:tr>
    </w:tbl>
    <w:p w:rsidR="000A6F76" w:rsidRPr="006F5401" w:rsidRDefault="000A6F76">
      <w:pPr>
        <w:spacing w:after="200"/>
        <w:contextualSpacing w:val="0"/>
      </w:pPr>
    </w:p>
    <w:tbl>
      <w:tblPr>
        <w:tblW w:w="9639" w:type="dxa"/>
        <w:tblBorders>
          <w:insideV w:val="single" w:sz="2" w:space="0" w:color="auto"/>
        </w:tblBorders>
        <w:tblLayout w:type="fixed"/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4824"/>
        <w:gridCol w:w="4815"/>
      </w:tblGrid>
      <w:tr w:rsidR="0071001C" w:rsidRPr="006F5401" w:rsidTr="007002EA">
        <w:tc>
          <w:tcPr>
            <w:tcW w:w="4824" w:type="dxa"/>
            <w:vAlign w:val="center"/>
          </w:tcPr>
          <w:p w:rsidR="0071001C" w:rsidRPr="006F5401" w:rsidRDefault="0071001C" w:rsidP="007002EA">
            <w:pPr>
              <w:spacing w:line="240" w:lineRule="auto"/>
              <w:rPr>
                <w:sz w:val="20"/>
              </w:rPr>
            </w:pPr>
            <w:r w:rsidRPr="006F5401">
              <w:rPr>
                <w:sz w:val="20"/>
              </w:rPr>
              <w:t xml:space="preserve">     </w:t>
            </w:r>
            <w:r w:rsidR="00CF13DA">
              <w:rPr>
                <w:noProof/>
                <w:sz w:val="20"/>
                <w:szCs w:val="20"/>
                <w:lang w:val="de-DE" w:eastAsia="de-DE"/>
              </w:rPr>
              <w:drawing>
                <wp:inline distT="0" distB="0" distL="0" distR="0" wp14:anchorId="4A4BF23A" wp14:editId="5E9872CF">
                  <wp:extent cx="2101215" cy="1398905"/>
                  <wp:effectExtent l="19050" t="0" r="0" b="0"/>
                  <wp:docPr id="3" name="Bild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1215" cy="13989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5" w:type="dxa"/>
            <w:vAlign w:val="center"/>
          </w:tcPr>
          <w:p w:rsidR="0071001C" w:rsidRPr="006F5401" w:rsidRDefault="0071001C" w:rsidP="007002EA">
            <w:pPr>
              <w:pStyle w:val="Subtitel1"/>
              <w:spacing w:line="240" w:lineRule="auto"/>
              <w:rPr>
                <w:sz w:val="20"/>
              </w:rPr>
            </w:pPr>
            <w:r w:rsidRPr="006F5401">
              <w:rPr>
                <w:sz w:val="20"/>
              </w:rPr>
              <w:t>WS250_00706_HI</w:t>
            </w:r>
          </w:p>
          <w:p w:rsidR="0071001C" w:rsidRPr="006F5401" w:rsidRDefault="0071001C" w:rsidP="007002EA">
            <w:pPr>
              <w:spacing w:line="240" w:lineRule="auto"/>
              <w:rPr>
                <w:sz w:val="20"/>
              </w:rPr>
            </w:pPr>
          </w:p>
          <w:p w:rsidR="0071001C" w:rsidRPr="006F5401" w:rsidRDefault="0071001C" w:rsidP="007002EA">
            <w:pPr>
              <w:spacing w:line="240" w:lineRule="auto"/>
              <w:rPr>
                <w:sz w:val="20"/>
              </w:rPr>
            </w:pPr>
            <w:r w:rsidRPr="006F5401">
              <w:rPr>
                <w:sz w:val="20"/>
              </w:rPr>
              <w:t xml:space="preserve">La stabilisation de sol est un procédé nettement plus économique et </w:t>
            </w:r>
            <w:r>
              <w:rPr>
                <w:sz w:val="20"/>
              </w:rPr>
              <w:t>respectueux</w:t>
            </w:r>
            <w:r w:rsidRPr="006F5401">
              <w:rPr>
                <w:sz w:val="20"/>
              </w:rPr>
              <w:t xml:space="preserve"> des ressources que le procédé conventionnel de remplacement du sol. </w:t>
            </w:r>
            <w:r>
              <w:rPr>
                <w:sz w:val="20"/>
              </w:rPr>
              <w:t xml:space="preserve">Dans ce contexte, </w:t>
            </w:r>
            <w:r w:rsidRPr="006F5401">
              <w:rPr>
                <w:sz w:val="20"/>
              </w:rPr>
              <w:t>les stabilisateurs rapportés WS 220 et WS 250 de Wirtgen, remorqués par un tracteur</w:t>
            </w:r>
            <w:r>
              <w:rPr>
                <w:sz w:val="20"/>
              </w:rPr>
              <w:t>, ont également un rôle à jouer</w:t>
            </w:r>
            <w:r w:rsidRPr="006F5401">
              <w:rPr>
                <w:sz w:val="20"/>
              </w:rPr>
              <w:t>.</w:t>
            </w:r>
          </w:p>
        </w:tc>
      </w:tr>
    </w:tbl>
    <w:p w:rsidR="0071001C" w:rsidRPr="006F5401" w:rsidRDefault="0071001C" w:rsidP="00BF54E8">
      <w:pPr>
        <w:sectPr w:rsidR="0071001C" w:rsidRPr="006F5401" w:rsidSect="00BF54E8">
          <w:headerReference w:type="default" r:id="rId11"/>
          <w:footerReference w:type="default" r:id="rId12"/>
          <w:pgSz w:w="11906" w:h="16838" w:code="9"/>
          <w:pgMar w:top="3005" w:right="851" w:bottom="1134" w:left="1701" w:header="709" w:footer="437" w:gutter="0"/>
          <w:cols w:space="708"/>
          <w:docGrid w:linePitch="360"/>
        </w:sectPr>
      </w:pPr>
    </w:p>
    <w:p w:rsidR="00185AA1" w:rsidRPr="0006523A" w:rsidRDefault="00185AA1" w:rsidP="00185AA1">
      <w:pPr>
        <w:pBdr>
          <w:bottom w:val="single" w:sz="6" w:space="1" w:color="auto"/>
        </w:pBdr>
        <w:rPr>
          <w:rFonts w:cs="Arial"/>
          <w:b/>
          <w:lang w:val="en-US" w:eastAsia="en-US"/>
        </w:rPr>
      </w:pPr>
    </w:p>
    <w:p w:rsidR="00185AA1" w:rsidRPr="0006523A" w:rsidRDefault="00185AA1" w:rsidP="00185AA1">
      <w:pPr>
        <w:pBdr>
          <w:bottom w:val="single" w:sz="6" w:space="1" w:color="auto"/>
        </w:pBdr>
        <w:rPr>
          <w:rFonts w:cs="Arial"/>
          <w:b/>
          <w:lang w:val="en-US" w:eastAsia="en-US"/>
        </w:rPr>
      </w:pPr>
    </w:p>
    <w:p w:rsidR="00185AA1" w:rsidRPr="0006523A" w:rsidRDefault="00D43790" w:rsidP="00185AA1">
      <w:pPr>
        <w:pBdr>
          <w:bottom w:val="single" w:sz="6" w:space="1" w:color="auto"/>
        </w:pBdr>
        <w:rPr>
          <w:rFonts w:cs="Arial"/>
          <w:b/>
          <w:lang w:val="en-US" w:eastAsia="en-US"/>
        </w:rPr>
      </w:pPr>
      <w:proofErr w:type="spellStart"/>
      <w:r w:rsidRPr="0006523A">
        <w:rPr>
          <w:rFonts w:cs="Arial"/>
          <w:b/>
          <w:lang w:val="en-US" w:eastAsia="en-US"/>
        </w:rPr>
        <w:t>Vous</w:t>
      </w:r>
      <w:proofErr w:type="spellEnd"/>
      <w:r w:rsidRPr="0006523A">
        <w:rPr>
          <w:rFonts w:cs="Arial"/>
          <w:b/>
          <w:lang w:val="en-US" w:eastAsia="en-US"/>
        </w:rPr>
        <w:t xml:space="preserve"> </w:t>
      </w:r>
      <w:proofErr w:type="spellStart"/>
      <w:r w:rsidRPr="0006523A">
        <w:rPr>
          <w:rFonts w:cs="Arial"/>
          <w:b/>
          <w:lang w:val="en-US" w:eastAsia="en-US"/>
        </w:rPr>
        <w:t>obtiendrez</w:t>
      </w:r>
      <w:proofErr w:type="spellEnd"/>
      <w:r w:rsidRPr="0006523A">
        <w:rPr>
          <w:rFonts w:cs="Arial"/>
          <w:b/>
          <w:lang w:val="en-US" w:eastAsia="en-US"/>
        </w:rPr>
        <w:t xml:space="preserve"> de plus </w:t>
      </w:r>
      <w:proofErr w:type="spellStart"/>
      <w:r w:rsidRPr="0006523A">
        <w:rPr>
          <w:rFonts w:cs="Arial"/>
          <w:b/>
          <w:lang w:val="en-US" w:eastAsia="en-US"/>
        </w:rPr>
        <w:t>amples</w:t>
      </w:r>
      <w:proofErr w:type="spellEnd"/>
      <w:r w:rsidRPr="0006523A">
        <w:rPr>
          <w:rFonts w:cs="Arial"/>
          <w:b/>
          <w:lang w:val="en-US" w:eastAsia="en-US"/>
        </w:rPr>
        <w:t xml:space="preserve"> </w:t>
      </w:r>
      <w:proofErr w:type="spellStart"/>
      <w:proofErr w:type="gramStart"/>
      <w:r w:rsidRPr="0006523A">
        <w:rPr>
          <w:rFonts w:cs="Arial"/>
          <w:b/>
          <w:lang w:val="en-US" w:eastAsia="en-US"/>
        </w:rPr>
        <w:t>informations</w:t>
      </w:r>
      <w:proofErr w:type="spellEnd"/>
      <w:proofErr w:type="gramEnd"/>
      <w:r w:rsidRPr="0006523A">
        <w:rPr>
          <w:rFonts w:cs="Arial"/>
          <w:b/>
          <w:lang w:val="en-US" w:eastAsia="en-US"/>
        </w:rPr>
        <w:t xml:space="preserve"> </w:t>
      </w:r>
      <w:proofErr w:type="spellStart"/>
      <w:r w:rsidRPr="0006523A">
        <w:rPr>
          <w:rFonts w:cs="Arial"/>
          <w:b/>
          <w:lang w:val="en-US" w:eastAsia="en-US"/>
        </w:rPr>
        <w:t>auprès</w:t>
      </w:r>
      <w:proofErr w:type="spellEnd"/>
      <w:r w:rsidRPr="0006523A">
        <w:rPr>
          <w:rFonts w:cs="Arial"/>
          <w:b/>
          <w:lang w:val="en-US" w:eastAsia="en-US"/>
        </w:rPr>
        <w:t xml:space="preserve"> de</w:t>
      </w:r>
      <w:r w:rsidR="00185AA1" w:rsidRPr="0006523A">
        <w:rPr>
          <w:rFonts w:cs="Arial"/>
          <w:b/>
          <w:lang w:val="en-US" w:eastAsia="en-US"/>
        </w:rPr>
        <w:t>:</w:t>
      </w:r>
    </w:p>
    <w:p w:rsidR="00185AA1" w:rsidRPr="0006523A" w:rsidRDefault="00185AA1" w:rsidP="00185AA1">
      <w:pPr>
        <w:rPr>
          <w:rFonts w:cs="Arial"/>
          <w:lang w:val="en-US" w:eastAsia="en-US"/>
        </w:rPr>
      </w:pPr>
    </w:p>
    <w:p w:rsidR="00185AA1" w:rsidRPr="00185AA1" w:rsidRDefault="00185AA1" w:rsidP="00185AA1">
      <w:pPr>
        <w:rPr>
          <w:rFonts w:cs="Arial"/>
          <w:lang w:val="en-US" w:eastAsia="en-US"/>
        </w:rPr>
      </w:pPr>
      <w:r w:rsidRPr="00185AA1">
        <w:rPr>
          <w:rFonts w:cs="Arial"/>
          <w:lang w:val="en-US" w:eastAsia="en-US"/>
        </w:rPr>
        <w:t>WIRTGEN GmbH</w:t>
      </w:r>
    </w:p>
    <w:p w:rsidR="00185AA1" w:rsidRPr="00185AA1" w:rsidRDefault="00185AA1" w:rsidP="00185AA1">
      <w:pPr>
        <w:rPr>
          <w:rFonts w:cs="Arial"/>
          <w:lang w:val="en-US" w:eastAsia="en-US"/>
        </w:rPr>
      </w:pPr>
      <w:r w:rsidRPr="00185AA1">
        <w:rPr>
          <w:rFonts w:cs="Arial"/>
          <w:lang w:val="en-US" w:eastAsia="en-US"/>
        </w:rPr>
        <w:t>Corporate Communications</w:t>
      </w:r>
    </w:p>
    <w:p w:rsidR="00185AA1" w:rsidRPr="0006523A" w:rsidRDefault="00185AA1" w:rsidP="00185AA1">
      <w:pPr>
        <w:rPr>
          <w:rFonts w:cs="Arial"/>
          <w:lang w:val="de-DE" w:eastAsia="en-US"/>
        </w:rPr>
      </w:pPr>
      <w:r w:rsidRPr="0006523A">
        <w:rPr>
          <w:rFonts w:cs="Arial"/>
          <w:lang w:val="de-DE" w:eastAsia="en-US"/>
        </w:rPr>
        <w:t>Michaela Adams, Mario Linnemann</w:t>
      </w:r>
    </w:p>
    <w:p w:rsidR="00185AA1" w:rsidRPr="00185AA1" w:rsidRDefault="00D43790" w:rsidP="00185AA1">
      <w:pPr>
        <w:rPr>
          <w:rFonts w:cs="Arial"/>
          <w:lang w:val="de-DE" w:eastAsia="en-US"/>
        </w:rPr>
      </w:pPr>
      <w:r>
        <w:rPr>
          <w:rFonts w:cs="Arial"/>
          <w:lang w:val="de-DE" w:eastAsia="en-US"/>
        </w:rPr>
        <w:t>Reinhard-Wirtgen-</w:t>
      </w:r>
      <w:proofErr w:type="spellStart"/>
      <w:r>
        <w:rPr>
          <w:rFonts w:cs="Arial"/>
          <w:lang w:val="de-DE" w:eastAsia="en-US"/>
        </w:rPr>
        <w:t>Strass</w:t>
      </w:r>
      <w:r w:rsidR="00185AA1" w:rsidRPr="00185AA1">
        <w:rPr>
          <w:rFonts w:cs="Arial"/>
          <w:lang w:val="de-DE" w:eastAsia="en-US"/>
        </w:rPr>
        <w:t>e</w:t>
      </w:r>
      <w:proofErr w:type="spellEnd"/>
      <w:r w:rsidR="00185AA1" w:rsidRPr="00185AA1">
        <w:rPr>
          <w:rFonts w:cs="Arial"/>
          <w:lang w:val="de-DE" w:eastAsia="en-US"/>
        </w:rPr>
        <w:t xml:space="preserve"> 2</w:t>
      </w:r>
    </w:p>
    <w:p w:rsidR="00185AA1" w:rsidRPr="00185AA1" w:rsidRDefault="00185AA1" w:rsidP="00185AA1">
      <w:pPr>
        <w:rPr>
          <w:rFonts w:cs="Arial"/>
          <w:lang w:val="de-DE" w:eastAsia="en-US"/>
        </w:rPr>
      </w:pPr>
      <w:r w:rsidRPr="00185AA1">
        <w:rPr>
          <w:rFonts w:cs="Arial"/>
          <w:lang w:val="de-DE" w:eastAsia="en-US"/>
        </w:rPr>
        <w:t xml:space="preserve">53578 </w:t>
      </w:r>
      <w:proofErr w:type="spellStart"/>
      <w:r w:rsidRPr="00185AA1">
        <w:rPr>
          <w:rFonts w:cs="Arial"/>
          <w:lang w:val="de-DE" w:eastAsia="en-US"/>
        </w:rPr>
        <w:t>Windhagen</w:t>
      </w:r>
      <w:proofErr w:type="spellEnd"/>
    </w:p>
    <w:p w:rsidR="00185AA1" w:rsidRPr="00185AA1" w:rsidRDefault="00D43790" w:rsidP="00185AA1">
      <w:pPr>
        <w:rPr>
          <w:rFonts w:cs="Arial"/>
          <w:lang w:val="de-DE" w:eastAsia="en-US"/>
        </w:rPr>
      </w:pPr>
      <w:proofErr w:type="spellStart"/>
      <w:r w:rsidRPr="00D43790">
        <w:rPr>
          <w:rFonts w:cs="Arial"/>
          <w:lang w:val="de-DE" w:eastAsia="en-US"/>
        </w:rPr>
        <w:t>Allemagne</w:t>
      </w:r>
      <w:proofErr w:type="spellEnd"/>
    </w:p>
    <w:p w:rsidR="00185AA1" w:rsidRPr="00185AA1" w:rsidRDefault="00185AA1" w:rsidP="00185AA1">
      <w:pPr>
        <w:rPr>
          <w:rFonts w:cs="Arial"/>
          <w:lang w:val="de-DE" w:eastAsia="en-US"/>
        </w:rPr>
      </w:pPr>
    </w:p>
    <w:p w:rsidR="00D43790" w:rsidRPr="00D43790" w:rsidRDefault="00D43790" w:rsidP="00D43790">
      <w:pPr>
        <w:rPr>
          <w:rFonts w:cs="Arial"/>
          <w:lang w:val="de-DE" w:eastAsia="en-US"/>
        </w:rPr>
      </w:pPr>
      <w:proofErr w:type="spellStart"/>
      <w:r w:rsidRPr="00D43790">
        <w:rPr>
          <w:rFonts w:cs="Arial"/>
          <w:lang w:val="de-DE" w:eastAsia="en-US"/>
        </w:rPr>
        <w:t>Téléphone</w:t>
      </w:r>
      <w:proofErr w:type="spellEnd"/>
      <w:r w:rsidRPr="00D43790">
        <w:rPr>
          <w:rFonts w:cs="Arial"/>
          <w:lang w:val="de-DE" w:eastAsia="en-US"/>
        </w:rPr>
        <w:t>: +49 (0) 2645 131 – 0</w:t>
      </w:r>
    </w:p>
    <w:p w:rsidR="00185AA1" w:rsidRPr="00185AA1" w:rsidRDefault="00D43790" w:rsidP="00D43790">
      <w:pPr>
        <w:rPr>
          <w:rFonts w:cs="Arial"/>
          <w:lang w:val="de-DE" w:eastAsia="en-US"/>
        </w:rPr>
      </w:pPr>
      <w:r w:rsidRPr="00D43790">
        <w:rPr>
          <w:rFonts w:cs="Arial"/>
          <w:lang w:val="de-DE" w:eastAsia="en-US"/>
        </w:rPr>
        <w:t>Telefax: +49 (0) 2645 131 – 499</w:t>
      </w:r>
    </w:p>
    <w:p w:rsidR="00185AA1" w:rsidRPr="00185AA1" w:rsidRDefault="00185AA1" w:rsidP="00185AA1">
      <w:pPr>
        <w:rPr>
          <w:rFonts w:cs="Arial"/>
          <w:lang w:val="de-DE" w:eastAsia="en-US"/>
        </w:rPr>
      </w:pPr>
      <w:proofErr w:type="spellStart"/>
      <w:r w:rsidRPr="00185AA1">
        <w:rPr>
          <w:rFonts w:cs="Arial"/>
          <w:lang w:val="de-DE" w:eastAsia="en-US"/>
        </w:rPr>
        <w:t>e-mail</w:t>
      </w:r>
      <w:proofErr w:type="spellEnd"/>
      <w:r w:rsidRPr="00185AA1">
        <w:rPr>
          <w:rFonts w:cs="Arial"/>
          <w:lang w:val="de-DE" w:eastAsia="en-US"/>
        </w:rPr>
        <w:t xml:space="preserve">: </w:t>
      </w:r>
      <w:proofErr w:type="spellStart"/>
      <w:r w:rsidRPr="00185AA1">
        <w:rPr>
          <w:rFonts w:cs="Arial"/>
          <w:lang w:val="de-DE" w:eastAsia="en-US"/>
        </w:rPr>
        <w:t>presse@wirtgen.com</w:t>
      </w:r>
      <w:proofErr w:type="spellEnd"/>
    </w:p>
    <w:p w:rsidR="0071001C" w:rsidRDefault="002F61DD" w:rsidP="00185AA1">
      <w:pPr>
        <w:pStyle w:val="Subtitel-Unterstrichen2"/>
        <w:rPr>
          <w:rFonts w:cs="Arial"/>
          <w:b w:val="0"/>
          <w:lang w:val="de-DE" w:eastAsia="en-US"/>
        </w:rPr>
      </w:pPr>
      <w:bookmarkStart w:id="0" w:name="_GoBack"/>
      <w:bookmarkEnd w:id="0"/>
      <w:proofErr w:type="spellStart"/>
      <w:r w:rsidRPr="002F61DD">
        <w:rPr>
          <w:rFonts w:cs="Arial"/>
          <w:b w:val="0"/>
          <w:lang w:val="de-DE" w:eastAsia="en-US"/>
        </w:rPr>
        <w:t>www.wirtgen.com</w:t>
      </w:r>
      <w:proofErr w:type="spellEnd"/>
    </w:p>
    <w:p w:rsidR="002F61DD" w:rsidRPr="006F5401" w:rsidRDefault="002F61DD" w:rsidP="00185AA1">
      <w:pPr>
        <w:pStyle w:val="Subtitel-Unterstrichen2"/>
      </w:pPr>
    </w:p>
    <w:sectPr w:rsidR="002F61DD" w:rsidRPr="006F5401" w:rsidSect="008B5019">
      <w:type w:val="continuous"/>
      <w:pgSz w:w="11906" w:h="16838"/>
      <w:pgMar w:top="3005" w:right="851" w:bottom="1134" w:left="1701" w:header="709" w:footer="437" w:gutter="0"/>
      <w:cols w:num="2" w:space="34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804A7" w:rsidRDefault="005804A7" w:rsidP="00BF54E8">
      <w:r>
        <w:separator/>
      </w:r>
    </w:p>
    <w:p w:rsidR="005804A7" w:rsidRDefault="005804A7" w:rsidP="00BF54E8"/>
  </w:endnote>
  <w:endnote w:type="continuationSeparator" w:id="0">
    <w:p w:rsidR="005804A7" w:rsidRDefault="005804A7" w:rsidP="00BF54E8">
      <w:r>
        <w:continuationSeparator/>
      </w:r>
    </w:p>
    <w:p w:rsidR="005804A7" w:rsidRDefault="005804A7" w:rsidP="00BF54E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1001C" w:rsidRPr="006F0BB2" w:rsidRDefault="000A6F76" w:rsidP="005F1786">
    <w:pPr>
      <w:pStyle w:val="Fuzeile"/>
    </w:pPr>
    <w:r>
      <w:fldChar w:fldCharType="begin"/>
    </w:r>
    <w:r>
      <w:instrText xml:space="preserve"> PAGE   \* MERGEFORMAT </w:instrText>
    </w:r>
    <w:r>
      <w:fldChar w:fldCharType="separate"/>
    </w:r>
    <w:r w:rsidR="002F61DD">
      <w:rPr>
        <w:noProof/>
      </w:rPr>
      <w:t>1</w:t>
    </w:r>
    <w:r>
      <w:rPr>
        <w:noProof/>
      </w:rPr>
      <w:fldChar w:fldCharType="end"/>
    </w:r>
    <w:r w:rsidR="00CF13DA">
      <w:rPr>
        <w:noProof/>
        <w:lang w:val="de-DE" w:eastAsia="de-DE"/>
      </w:rPr>
      <w:drawing>
        <wp:anchor distT="0" distB="0" distL="114300" distR="114300" simplePos="0" relativeHeight="251657216" behindDoc="0" locked="1" layoutInCell="1" allowOverlap="1" wp14:anchorId="21DEA91C" wp14:editId="760A561C">
          <wp:simplePos x="0" y="0"/>
          <wp:positionH relativeFrom="page">
            <wp:posOffset>396875</wp:posOffset>
          </wp:positionH>
          <wp:positionV relativeFrom="page">
            <wp:posOffset>10146030</wp:posOffset>
          </wp:positionV>
          <wp:extent cx="6764020" cy="118745"/>
          <wp:effectExtent l="19050" t="0" r="0" b="0"/>
          <wp:wrapNone/>
          <wp:docPr id="2" name="Bild 5" descr="Daten Server II:WIRTGEN:Massnahmen 2016:Presseinformation_Vorlage:Presseinformation_WIRTGEN_unten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5" descr="Daten Server II:WIRTGEN:Massnahmen 2016:Presseinformation_Vorlage:Presseinformation_WIRTGEN_unten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43474" b="39513"/>
                  <a:stretch>
                    <a:fillRect/>
                  </a:stretch>
                </pic:blipFill>
                <pic:spPr bwMode="auto">
                  <a:xfrm>
                    <a:off x="0" y="0"/>
                    <a:ext cx="6764020" cy="1187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804A7" w:rsidRDefault="005804A7" w:rsidP="00BF54E8">
      <w:r>
        <w:separator/>
      </w:r>
    </w:p>
    <w:p w:rsidR="005804A7" w:rsidRDefault="005804A7" w:rsidP="00BF54E8"/>
  </w:footnote>
  <w:footnote w:type="continuationSeparator" w:id="0">
    <w:p w:rsidR="005804A7" w:rsidRDefault="005804A7" w:rsidP="00BF54E8">
      <w:r>
        <w:continuationSeparator/>
      </w:r>
    </w:p>
    <w:p w:rsidR="005804A7" w:rsidRDefault="005804A7" w:rsidP="00BF54E8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1001C" w:rsidRDefault="00CF13DA" w:rsidP="00BF54E8">
    <w:pPr>
      <w:pStyle w:val="Kopfzeile"/>
    </w:pPr>
    <w:r>
      <w:rPr>
        <w:noProof/>
        <w:lang w:val="de-DE" w:eastAsia="de-DE"/>
      </w:rPr>
      <w:drawing>
        <wp:anchor distT="0" distB="0" distL="114300" distR="114300" simplePos="0" relativeHeight="251658240" behindDoc="0" locked="1" layoutInCell="1" allowOverlap="1" wp14:anchorId="5591EE23" wp14:editId="5A69A4A8">
          <wp:simplePos x="0" y="0"/>
          <wp:positionH relativeFrom="page">
            <wp:posOffset>461010</wp:posOffset>
          </wp:positionH>
          <wp:positionV relativeFrom="page">
            <wp:posOffset>353060</wp:posOffset>
          </wp:positionV>
          <wp:extent cx="6656070" cy="1324610"/>
          <wp:effectExtent l="19050" t="0" r="0" b="0"/>
          <wp:wrapNone/>
          <wp:docPr id="1" name="Bild 4" descr="Daten Server II:WIRTGEN:Massnahmen 2016:Presseinformation_Vorlage:Presseinformation_WIRTGEN_oben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4" descr="Daten Server II:WIRTGEN:Massnahmen 2016:Presseinformation_Vorlage:Presseinformation_WIRTGEN_oben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56070" cy="13246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021372F"/>
    <w:multiLevelType w:val="hybridMultilevel"/>
    <w:tmpl w:val="95BA8926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1331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C587A"/>
    <w:rsid w:val="00004163"/>
    <w:rsid w:val="00004E3C"/>
    <w:rsid w:val="00015DC7"/>
    <w:rsid w:val="00055107"/>
    <w:rsid w:val="000571BB"/>
    <w:rsid w:val="00060F00"/>
    <w:rsid w:val="000621B6"/>
    <w:rsid w:val="0006523A"/>
    <w:rsid w:val="00066A8A"/>
    <w:rsid w:val="0007588A"/>
    <w:rsid w:val="00092701"/>
    <w:rsid w:val="000A6F76"/>
    <w:rsid w:val="000D0AE3"/>
    <w:rsid w:val="000D1E00"/>
    <w:rsid w:val="000D5B68"/>
    <w:rsid w:val="000F3C01"/>
    <w:rsid w:val="000F64D9"/>
    <w:rsid w:val="00103A95"/>
    <w:rsid w:val="00105039"/>
    <w:rsid w:val="001168F7"/>
    <w:rsid w:val="0012611A"/>
    <w:rsid w:val="00127DE7"/>
    <w:rsid w:val="00132A29"/>
    <w:rsid w:val="00150ACB"/>
    <w:rsid w:val="0018531A"/>
    <w:rsid w:val="00185AA1"/>
    <w:rsid w:val="001B65B1"/>
    <w:rsid w:val="001D090A"/>
    <w:rsid w:val="001E45E6"/>
    <w:rsid w:val="001E566E"/>
    <w:rsid w:val="001F0073"/>
    <w:rsid w:val="00203F3C"/>
    <w:rsid w:val="002044E1"/>
    <w:rsid w:val="00215ED4"/>
    <w:rsid w:val="002508A2"/>
    <w:rsid w:val="00254DA4"/>
    <w:rsid w:val="002661A1"/>
    <w:rsid w:val="0026735B"/>
    <w:rsid w:val="002737B0"/>
    <w:rsid w:val="0028321D"/>
    <w:rsid w:val="002844A7"/>
    <w:rsid w:val="002927F7"/>
    <w:rsid w:val="002A1178"/>
    <w:rsid w:val="002A24F1"/>
    <w:rsid w:val="002A6820"/>
    <w:rsid w:val="002F61DD"/>
    <w:rsid w:val="003210E6"/>
    <w:rsid w:val="00325F60"/>
    <w:rsid w:val="00331431"/>
    <w:rsid w:val="003374DE"/>
    <w:rsid w:val="00340424"/>
    <w:rsid w:val="003461FD"/>
    <w:rsid w:val="00356DE5"/>
    <w:rsid w:val="00374784"/>
    <w:rsid w:val="00383C17"/>
    <w:rsid w:val="003A39ED"/>
    <w:rsid w:val="003B171C"/>
    <w:rsid w:val="003B2BE6"/>
    <w:rsid w:val="003C4D11"/>
    <w:rsid w:val="003D060C"/>
    <w:rsid w:val="003D19A5"/>
    <w:rsid w:val="003E65BE"/>
    <w:rsid w:val="003F19BB"/>
    <w:rsid w:val="00400371"/>
    <w:rsid w:val="00406CA0"/>
    <w:rsid w:val="00411100"/>
    <w:rsid w:val="00417CC7"/>
    <w:rsid w:val="004409FD"/>
    <w:rsid w:val="00453C01"/>
    <w:rsid w:val="00470BBF"/>
    <w:rsid w:val="00487AEE"/>
    <w:rsid w:val="00491C3C"/>
    <w:rsid w:val="004A1713"/>
    <w:rsid w:val="004B6BFD"/>
    <w:rsid w:val="004C04EC"/>
    <w:rsid w:val="004F0DD9"/>
    <w:rsid w:val="00501D9E"/>
    <w:rsid w:val="00505387"/>
    <w:rsid w:val="00525BFA"/>
    <w:rsid w:val="00536FAA"/>
    <w:rsid w:val="00543601"/>
    <w:rsid w:val="00562878"/>
    <w:rsid w:val="00567994"/>
    <w:rsid w:val="005804A7"/>
    <w:rsid w:val="005A69C4"/>
    <w:rsid w:val="005B6CCC"/>
    <w:rsid w:val="005C5964"/>
    <w:rsid w:val="005C71DF"/>
    <w:rsid w:val="005D5AF0"/>
    <w:rsid w:val="005F1786"/>
    <w:rsid w:val="005F19BC"/>
    <w:rsid w:val="0061338C"/>
    <w:rsid w:val="00614AEF"/>
    <w:rsid w:val="00620D33"/>
    <w:rsid w:val="006245E4"/>
    <w:rsid w:val="00631D5E"/>
    <w:rsid w:val="0063503A"/>
    <w:rsid w:val="00640D1E"/>
    <w:rsid w:val="00652DDA"/>
    <w:rsid w:val="00655A47"/>
    <w:rsid w:val="00664D60"/>
    <w:rsid w:val="006926F6"/>
    <w:rsid w:val="006A16F3"/>
    <w:rsid w:val="006B3D7D"/>
    <w:rsid w:val="006C20E9"/>
    <w:rsid w:val="006F0BB2"/>
    <w:rsid w:val="006F2EC4"/>
    <w:rsid w:val="006F5401"/>
    <w:rsid w:val="007002EA"/>
    <w:rsid w:val="00702FAA"/>
    <w:rsid w:val="0071001C"/>
    <w:rsid w:val="00715AF9"/>
    <w:rsid w:val="0071632A"/>
    <w:rsid w:val="00736C0F"/>
    <w:rsid w:val="00737501"/>
    <w:rsid w:val="007429AD"/>
    <w:rsid w:val="00744E8C"/>
    <w:rsid w:val="00752DE7"/>
    <w:rsid w:val="00756C0B"/>
    <w:rsid w:val="007874EA"/>
    <w:rsid w:val="007B1429"/>
    <w:rsid w:val="007B63A4"/>
    <w:rsid w:val="007E60B6"/>
    <w:rsid w:val="0081201E"/>
    <w:rsid w:val="00837007"/>
    <w:rsid w:val="00840F1D"/>
    <w:rsid w:val="008500F0"/>
    <w:rsid w:val="0085248A"/>
    <w:rsid w:val="00853526"/>
    <w:rsid w:val="00857696"/>
    <w:rsid w:val="0086523A"/>
    <w:rsid w:val="00867532"/>
    <w:rsid w:val="008731DB"/>
    <w:rsid w:val="00897B39"/>
    <w:rsid w:val="008A31D3"/>
    <w:rsid w:val="008B1CC0"/>
    <w:rsid w:val="008B5019"/>
    <w:rsid w:val="008B6278"/>
    <w:rsid w:val="008E6E18"/>
    <w:rsid w:val="00903EF6"/>
    <w:rsid w:val="00912040"/>
    <w:rsid w:val="00953FF6"/>
    <w:rsid w:val="009825CE"/>
    <w:rsid w:val="009E33BD"/>
    <w:rsid w:val="009E6E08"/>
    <w:rsid w:val="00A03115"/>
    <w:rsid w:val="00A05851"/>
    <w:rsid w:val="00A305DA"/>
    <w:rsid w:val="00A5131B"/>
    <w:rsid w:val="00A5625A"/>
    <w:rsid w:val="00A60D31"/>
    <w:rsid w:val="00A726FC"/>
    <w:rsid w:val="00A844C7"/>
    <w:rsid w:val="00AA057E"/>
    <w:rsid w:val="00AA1825"/>
    <w:rsid w:val="00AB0D8B"/>
    <w:rsid w:val="00AB6863"/>
    <w:rsid w:val="00AD0793"/>
    <w:rsid w:val="00AD1342"/>
    <w:rsid w:val="00B0640F"/>
    <w:rsid w:val="00B46AFC"/>
    <w:rsid w:val="00B57EB8"/>
    <w:rsid w:val="00B6168A"/>
    <w:rsid w:val="00BA762F"/>
    <w:rsid w:val="00BB0A78"/>
    <w:rsid w:val="00BB0CAE"/>
    <w:rsid w:val="00BC587A"/>
    <w:rsid w:val="00BE470C"/>
    <w:rsid w:val="00BF54E8"/>
    <w:rsid w:val="00C13DB7"/>
    <w:rsid w:val="00C46710"/>
    <w:rsid w:val="00C630FA"/>
    <w:rsid w:val="00C7489D"/>
    <w:rsid w:val="00C838D2"/>
    <w:rsid w:val="00C93D55"/>
    <w:rsid w:val="00C97CC2"/>
    <w:rsid w:val="00CB5B39"/>
    <w:rsid w:val="00CF13DA"/>
    <w:rsid w:val="00CF76E9"/>
    <w:rsid w:val="00D31B38"/>
    <w:rsid w:val="00D33509"/>
    <w:rsid w:val="00D36C88"/>
    <w:rsid w:val="00D43790"/>
    <w:rsid w:val="00D44C3A"/>
    <w:rsid w:val="00D86B0B"/>
    <w:rsid w:val="00DB033D"/>
    <w:rsid w:val="00DB3A24"/>
    <w:rsid w:val="00DC0211"/>
    <w:rsid w:val="00DF34CD"/>
    <w:rsid w:val="00E2149A"/>
    <w:rsid w:val="00E23BDC"/>
    <w:rsid w:val="00E2541B"/>
    <w:rsid w:val="00E445A1"/>
    <w:rsid w:val="00E91E56"/>
    <w:rsid w:val="00EA2381"/>
    <w:rsid w:val="00EA271A"/>
    <w:rsid w:val="00ED1EA1"/>
    <w:rsid w:val="00EE74D5"/>
    <w:rsid w:val="00F234DC"/>
    <w:rsid w:val="00F43B85"/>
    <w:rsid w:val="00F67E04"/>
    <w:rsid w:val="00F729D0"/>
    <w:rsid w:val="00F81D17"/>
    <w:rsid w:val="00FA6008"/>
    <w:rsid w:val="00FC5A13"/>
    <w:rsid w:val="00FD54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331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BF54E8"/>
    <w:pPr>
      <w:spacing w:line="276" w:lineRule="auto"/>
      <w:contextualSpacing/>
    </w:pPr>
    <w:rPr>
      <w:rFonts w:ascii="Verdana" w:hAnsi="Verdana"/>
      <w:lang w:val="fr-FR" w:eastAsia="fr-FR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rsid w:val="008A31D3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locked/>
    <w:rsid w:val="008A31D3"/>
    <w:rPr>
      <w:rFonts w:cs="Times New Roman"/>
    </w:rPr>
  </w:style>
  <w:style w:type="paragraph" w:styleId="Fuzeile">
    <w:name w:val="footer"/>
    <w:basedOn w:val="Standard"/>
    <w:link w:val="FuzeileZchn"/>
    <w:uiPriority w:val="99"/>
    <w:rsid w:val="00A60D31"/>
    <w:pPr>
      <w:tabs>
        <w:tab w:val="center" w:pos="4536"/>
        <w:tab w:val="right" w:pos="9072"/>
      </w:tabs>
      <w:spacing w:line="240" w:lineRule="auto"/>
      <w:jc w:val="right"/>
    </w:pPr>
  </w:style>
  <w:style w:type="character" w:customStyle="1" w:styleId="FuzeileZchn">
    <w:name w:val="Fußzeile Zchn"/>
    <w:basedOn w:val="Absatz-Standardschriftart"/>
    <w:link w:val="Fuzeile"/>
    <w:uiPriority w:val="99"/>
    <w:locked/>
    <w:rsid w:val="00A60D31"/>
    <w:rPr>
      <w:rFonts w:ascii="Verdana" w:hAnsi="Verdana" w:cs="Times New Roman"/>
    </w:rPr>
  </w:style>
  <w:style w:type="table" w:styleId="Tabellenraster">
    <w:name w:val="Table Grid"/>
    <w:basedOn w:val="NormaleTabelle"/>
    <w:uiPriority w:val="99"/>
    <w:rsid w:val="008A31D3"/>
    <w:rPr>
      <w:rFonts w:ascii="Times New Roman" w:eastAsia="Times New Roman" w:hAnsi="Times New Roman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uiPriority w:val="99"/>
    <w:semiHidden/>
    <w:rsid w:val="008A31D3"/>
    <w:rPr>
      <w:rFonts w:cs="Times New Roman"/>
    </w:rPr>
  </w:style>
  <w:style w:type="paragraph" w:styleId="Listenabsatz">
    <w:name w:val="List Paragraph"/>
    <w:basedOn w:val="Standard"/>
    <w:uiPriority w:val="99"/>
    <w:qFormat/>
    <w:rsid w:val="008A31D3"/>
    <w:pPr>
      <w:spacing w:line="240" w:lineRule="auto"/>
      <w:ind w:left="720"/>
    </w:pPr>
    <w:rPr>
      <w:rFonts w:ascii="Times New Roman" w:eastAsia="Times New Roman" w:hAnsi="Times New Roman"/>
      <w:sz w:val="24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rsid w:val="00066A8A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locked/>
    <w:rsid w:val="00066A8A"/>
    <w:rPr>
      <w:rFonts w:ascii="Lucida Grande" w:hAnsi="Lucida Grande" w:cs="Lucida Grande"/>
      <w:sz w:val="18"/>
      <w:szCs w:val="18"/>
    </w:rPr>
  </w:style>
  <w:style w:type="paragraph" w:styleId="Funotentext">
    <w:name w:val="footnote text"/>
    <w:basedOn w:val="Standard"/>
    <w:link w:val="FunotentextZchn"/>
    <w:uiPriority w:val="99"/>
    <w:rsid w:val="0007588A"/>
    <w:pPr>
      <w:spacing w:line="240" w:lineRule="auto"/>
    </w:pPr>
    <w:rPr>
      <w:sz w:val="24"/>
      <w:szCs w:val="24"/>
    </w:rPr>
  </w:style>
  <w:style w:type="character" w:customStyle="1" w:styleId="FunotentextZchn">
    <w:name w:val="Fußnotentext Zchn"/>
    <w:basedOn w:val="Absatz-Standardschriftart"/>
    <w:link w:val="Funotentext"/>
    <w:uiPriority w:val="99"/>
    <w:locked/>
    <w:rsid w:val="0007588A"/>
    <w:rPr>
      <w:rFonts w:cs="Times New Roman"/>
      <w:sz w:val="24"/>
      <w:szCs w:val="24"/>
    </w:rPr>
  </w:style>
  <w:style w:type="character" w:styleId="Funotenzeichen">
    <w:name w:val="footnote reference"/>
    <w:basedOn w:val="Absatz-Standardschriftart"/>
    <w:uiPriority w:val="99"/>
    <w:rsid w:val="0007588A"/>
    <w:rPr>
      <w:rFonts w:cs="Times New Roman"/>
      <w:vertAlign w:val="superscript"/>
    </w:rPr>
  </w:style>
  <w:style w:type="character" w:styleId="Hyperlink">
    <w:name w:val="Hyperlink"/>
    <w:basedOn w:val="Absatz-Standardschriftart"/>
    <w:uiPriority w:val="99"/>
    <w:rsid w:val="00D86B0B"/>
    <w:rPr>
      <w:rFonts w:cs="Times New Roman"/>
      <w:color w:val="0000FF"/>
      <w:u w:val="single"/>
    </w:rPr>
  </w:style>
  <w:style w:type="character" w:styleId="BesuchterHyperlink">
    <w:name w:val="FollowedHyperlink"/>
    <w:basedOn w:val="Absatz-Standardschriftart"/>
    <w:uiPriority w:val="99"/>
    <w:semiHidden/>
    <w:rsid w:val="00D86B0B"/>
    <w:rPr>
      <w:rFonts w:cs="Times New Roman"/>
      <w:color w:val="800080"/>
      <w:u w:val="single"/>
    </w:rPr>
  </w:style>
  <w:style w:type="paragraph" w:styleId="Dokumentstruktur">
    <w:name w:val="Document Map"/>
    <w:basedOn w:val="Standard"/>
    <w:link w:val="DokumentstrukturZchn"/>
    <w:uiPriority w:val="99"/>
    <w:semiHidden/>
    <w:rsid w:val="00B46AF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locked/>
    <w:rsid w:val="00B46AFC"/>
    <w:rPr>
      <w:rFonts w:ascii="Tahoma" w:hAnsi="Tahoma" w:cs="Tahoma"/>
      <w:sz w:val="16"/>
      <w:szCs w:val="16"/>
    </w:rPr>
  </w:style>
  <w:style w:type="paragraph" w:customStyle="1" w:styleId="Subtitel1">
    <w:name w:val="Subtitel1"/>
    <w:basedOn w:val="Standard"/>
    <w:uiPriority w:val="99"/>
    <w:rsid w:val="00BF54E8"/>
    <w:rPr>
      <w:b/>
    </w:rPr>
  </w:style>
  <w:style w:type="paragraph" w:customStyle="1" w:styleId="Titel1">
    <w:name w:val="Titel1"/>
    <w:basedOn w:val="Standard"/>
    <w:uiPriority w:val="99"/>
    <w:rsid w:val="00BF54E8"/>
    <w:rPr>
      <w:b/>
      <w:sz w:val="40"/>
    </w:rPr>
  </w:style>
  <w:style w:type="paragraph" w:customStyle="1" w:styleId="Subtitel-Unterstrichen1">
    <w:name w:val="Subtitel-Unterstrichen1"/>
    <w:basedOn w:val="Subtitel1"/>
    <w:uiPriority w:val="99"/>
    <w:rsid w:val="00BF54E8"/>
    <w:pPr>
      <w:pBdr>
        <w:bottom w:val="single" w:sz="12" w:space="1" w:color="auto"/>
      </w:pBdr>
    </w:pPr>
  </w:style>
  <w:style w:type="paragraph" w:customStyle="1" w:styleId="Subtitel-Unterstrichen2">
    <w:name w:val="Subtitel-Unterstrichen2"/>
    <w:basedOn w:val="Subtitel1"/>
    <w:uiPriority w:val="99"/>
    <w:rsid w:val="00BF54E8"/>
    <w:pPr>
      <w:pBdr>
        <w:bottom w:val="single" w:sz="6" w:space="1" w:color="auto"/>
      </w:pBdr>
    </w:pPr>
  </w:style>
  <w:style w:type="table" w:customStyle="1" w:styleId="Fotos">
    <w:name w:val="Fotos"/>
    <w:uiPriority w:val="99"/>
    <w:rsid w:val="009E6E08"/>
    <w:rPr>
      <w:rFonts w:ascii="Verdana" w:hAnsi="Verdana"/>
      <w:sz w:val="20"/>
      <w:szCs w:val="20"/>
      <w:lang w:val="fr-FR" w:eastAsia="fr-FR"/>
    </w:rPr>
    <w:tblPr>
      <w:tblStyleRowBandSize w:val="1"/>
      <w:tblInd w:w="0" w:type="dxa"/>
      <w:tblBorders>
        <w:insideV w:val="single" w:sz="2" w:space="0" w:color="auto"/>
      </w:tblBorders>
      <w:tblCellMar>
        <w:top w:w="170" w:type="dxa"/>
        <w:left w:w="170" w:type="dxa"/>
        <w:bottom w:w="170" w:type="dxa"/>
        <w:right w:w="170" w:type="dxa"/>
      </w:tblCellMar>
    </w:tblPr>
    <w:tblStylePr w:type="band2Horz">
      <w:rPr>
        <w:rFonts w:cs="Times New Roman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BF54E8"/>
    <w:pPr>
      <w:spacing w:line="276" w:lineRule="auto"/>
      <w:contextualSpacing/>
    </w:pPr>
    <w:rPr>
      <w:rFonts w:ascii="Verdana" w:hAnsi="Verdana"/>
      <w:lang w:val="fr-FR" w:eastAsia="fr-FR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rsid w:val="008A31D3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locked/>
    <w:rsid w:val="008A31D3"/>
    <w:rPr>
      <w:rFonts w:cs="Times New Roman"/>
    </w:rPr>
  </w:style>
  <w:style w:type="paragraph" w:styleId="Fuzeile">
    <w:name w:val="footer"/>
    <w:basedOn w:val="Standard"/>
    <w:link w:val="FuzeileZchn"/>
    <w:uiPriority w:val="99"/>
    <w:rsid w:val="00A60D31"/>
    <w:pPr>
      <w:tabs>
        <w:tab w:val="center" w:pos="4536"/>
        <w:tab w:val="right" w:pos="9072"/>
      </w:tabs>
      <w:spacing w:line="240" w:lineRule="auto"/>
      <w:jc w:val="right"/>
    </w:pPr>
  </w:style>
  <w:style w:type="character" w:customStyle="1" w:styleId="FuzeileZchn">
    <w:name w:val="Fußzeile Zchn"/>
    <w:basedOn w:val="Absatz-Standardschriftart"/>
    <w:link w:val="Fuzeile"/>
    <w:uiPriority w:val="99"/>
    <w:locked/>
    <w:rsid w:val="00A60D31"/>
    <w:rPr>
      <w:rFonts w:ascii="Verdana" w:hAnsi="Verdana" w:cs="Times New Roman"/>
    </w:rPr>
  </w:style>
  <w:style w:type="table" w:styleId="Tabellenraster">
    <w:name w:val="Table Grid"/>
    <w:basedOn w:val="NormaleTabelle"/>
    <w:uiPriority w:val="99"/>
    <w:rsid w:val="008A31D3"/>
    <w:rPr>
      <w:rFonts w:ascii="Times New Roman" w:eastAsia="Times New Roman" w:hAnsi="Times New Roman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uiPriority w:val="99"/>
    <w:semiHidden/>
    <w:rsid w:val="008A31D3"/>
    <w:rPr>
      <w:rFonts w:cs="Times New Roman"/>
    </w:rPr>
  </w:style>
  <w:style w:type="paragraph" w:styleId="Listenabsatz">
    <w:name w:val="List Paragraph"/>
    <w:basedOn w:val="Standard"/>
    <w:uiPriority w:val="99"/>
    <w:qFormat/>
    <w:rsid w:val="008A31D3"/>
    <w:pPr>
      <w:spacing w:line="240" w:lineRule="auto"/>
      <w:ind w:left="720"/>
    </w:pPr>
    <w:rPr>
      <w:rFonts w:ascii="Times New Roman" w:eastAsia="Times New Roman" w:hAnsi="Times New Roman"/>
      <w:sz w:val="24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rsid w:val="00066A8A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locked/>
    <w:rsid w:val="00066A8A"/>
    <w:rPr>
      <w:rFonts w:ascii="Lucida Grande" w:hAnsi="Lucida Grande" w:cs="Lucida Grande"/>
      <w:sz w:val="18"/>
      <w:szCs w:val="18"/>
    </w:rPr>
  </w:style>
  <w:style w:type="paragraph" w:styleId="Funotentext">
    <w:name w:val="footnote text"/>
    <w:basedOn w:val="Standard"/>
    <w:link w:val="FunotentextZchn"/>
    <w:uiPriority w:val="99"/>
    <w:rsid w:val="0007588A"/>
    <w:pPr>
      <w:spacing w:line="240" w:lineRule="auto"/>
    </w:pPr>
    <w:rPr>
      <w:sz w:val="24"/>
      <w:szCs w:val="24"/>
    </w:rPr>
  </w:style>
  <w:style w:type="character" w:customStyle="1" w:styleId="FunotentextZchn">
    <w:name w:val="Fußnotentext Zchn"/>
    <w:basedOn w:val="Absatz-Standardschriftart"/>
    <w:link w:val="Funotentext"/>
    <w:uiPriority w:val="99"/>
    <w:locked/>
    <w:rsid w:val="0007588A"/>
    <w:rPr>
      <w:rFonts w:cs="Times New Roman"/>
      <w:sz w:val="24"/>
      <w:szCs w:val="24"/>
    </w:rPr>
  </w:style>
  <w:style w:type="character" w:styleId="Funotenzeichen">
    <w:name w:val="footnote reference"/>
    <w:basedOn w:val="Absatz-Standardschriftart"/>
    <w:uiPriority w:val="99"/>
    <w:rsid w:val="0007588A"/>
    <w:rPr>
      <w:rFonts w:cs="Times New Roman"/>
      <w:vertAlign w:val="superscript"/>
    </w:rPr>
  </w:style>
  <w:style w:type="character" w:styleId="Hyperlink">
    <w:name w:val="Hyperlink"/>
    <w:basedOn w:val="Absatz-Standardschriftart"/>
    <w:uiPriority w:val="99"/>
    <w:rsid w:val="00D86B0B"/>
    <w:rPr>
      <w:rFonts w:cs="Times New Roman"/>
      <w:color w:val="0000FF"/>
      <w:u w:val="single"/>
    </w:rPr>
  </w:style>
  <w:style w:type="character" w:styleId="BesuchterHyperlink">
    <w:name w:val="FollowedHyperlink"/>
    <w:basedOn w:val="Absatz-Standardschriftart"/>
    <w:uiPriority w:val="99"/>
    <w:semiHidden/>
    <w:rsid w:val="00D86B0B"/>
    <w:rPr>
      <w:rFonts w:cs="Times New Roman"/>
      <w:color w:val="800080"/>
      <w:u w:val="single"/>
    </w:rPr>
  </w:style>
  <w:style w:type="paragraph" w:styleId="Dokumentstruktur">
    <w:name w:val="Document Map"/>
    <w:basedOn w:val="Standard"/>
    <w:link w:val="DokumentstrukturZchn"/>
    <w:uiPriority w:val="99"/>
    <w:semiHidden/>
    <w:rsid w:val="00B46AF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locked/>
    <w:rsid w:val="00B46AFC"/>
    <w:rPr>
      <w:rFonts w:ascii="Tahoma" w:hAnsi="Tahoma" w:cs="Tahoma"/>
      <w:sz w:val="16"/>
      <w:szCs w:val="16"/>
    </w:rPr>
  </w:style>
  <w:style w:type="paragraph" w:customStyle="1" w:styleId="Subtitel1">
    <w:name w:val="Subtitel1"/>
    <w:basedOn w:val="Standard"/>
    <w:uiPriority w:val="99"/>
    <w:rsid w:val="00BF54E8"/>
    <w:rPr>
      <w:b/>
    </w:rPr>
  </w:style>
  <w:style w:type="paragraph" w:customStyle="1" w:styleId="Titel1">
    <w:name w:val="Titel1"/>
    <w:basedOn w:val="Standard"/>
    <w:uiPriority w:val="99"/>
    <w:rsid w:val="00BF54E8"/>
    <w:rPr>
      <w:b/>
      <w:sz w:val="40"/>
    </w:rPr>
  </w:style>
  <w:style w:type="paragraph" w:customStyle="1" w:styleId="Subtitel-Unterstrichen1">
    <w:name w:val="Subtitel-Unterstrichen1"/>
    <w:basedOn w:val="Subtitel1"/>
    <w:uiPriority w:val="99"/>
    <w:rsid w:val="00BF54E8"/>
    <w:pPr>
      <w:pBdr>
        <w:bottom w:val="single" w:sz="12" w:space="1" w:color="auto"/>
      </w:pBdr>
    </w:pPr>
  </w:style>
  <w:style w:type="paragraph" w:customStyle="1" w:styleId="Subtitel-Unterstrichen2">
    <w:name w:val="Subtitel-Unterstrichen2"/>
    <w:basedOn w:val="Subtitel1"/>
    <w:uiPriority w:val="99"/>
    <w:rsid w:val="00BF54E8"/>
    <w:pPr>
      <w:pBdr>
        <w:bottom w:val="single" w:sz="6" w:space="1" w:color="auto"/>
      </w:pBdr>
    </w:pPr>
  </w:style>
  <w:style w:type="table" w:customStyle="1" w:styleId="Fotos">
    <w:name w:val="Fotos"/>
    <w:uiPriority w:val="99"/>
    <w:rsid w:val="009E6E08"/>
    <w:rPr>
      <w:rFonts w:ascii="Verdana" w:hAnsi="Verdana"/>
      <w:sz w:val="20"/>
      <w:szCs w:val="20"/>
      <w:lang w:val="fr-FR" w:eastAsia="fr-FR"/>
    </w:rPr>
    <w:tblPr>
      <w:tblStyleRowBandSize w:val="1"/>
      <w:tblInd w:w="0" w:type="dxa"/>
      <w:tblBorders>
        <w:insideV w:val="single" w:sz="2" w:space="0" w:color="auto"/>
      </w:tblBorders>
      <w:tblCellMar>
        <w:top w:w="170" w:type="dxa"/>
        <w:left w:w="170" w:type="dxa"/>
        <w:bottom w:w="170" w:type="dxa"/>
        <w:right w:w="170" w:type="dxa"/>
      </w:tblCellMar>
    </w:tblPr>
    <w:tblStylePr w:type="band2Horz">
      <w:rPr>
        <w:rFonts w:cs="Times New Roman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743</Words>
  <Characters>3967</Characters>
  <Application>Microsoft Office Word</Application>
  <DocSecurity>0</DocSecurity>
  <Lines>33</Lines>
  <Paragraphs>9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>Nouveaux outils de taille pour les recycleurs à froid et stabilisateurs de sol de Wirtgen</vt:lpstr>
      <vt:lpstr>Nouveaux outils de taille pour les recycleurs à froid et stabilisateurs de sol de Wirtgen</vt:lpstr>
    </vt:vector>
  </TitlesOfParts>
  <Company>Wirtgen GmbH</Company>
  <LinksUpToDate>false</LinksUpToDate>
  <CharactersWithSpaces>4701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Nouveaux outils de taille pour les recycleurs à froid et stabilisateurs de sol de Wirtgen</dc:title>
  <dc:creator>Linnemann Mario</dc:creator>
  <cp:lastModifiedBy>Linnemann Mario</cp:lastModifiedBy>
  <cp:revision>3</cp:revision>
  <cp:lastPrinted>2015-06-11T12:54:00Z</cp:lastPrinted>
  <dcterms:created xsi:type="dcterms:W3CDTF">2016-03-18T15:53:00Z</dcterms:created>
  <dcterms:modified xsi:type="dcterms:W3CDTF">2016-03-18T15:55:00Z</dcterms:modified>
</cp:coreProperties>
</file>