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312B122" w14:textId="1FD5F61A" w:rsidR="00470BBF" w:rsidRPr="00EA6A26" w:rsidRDefault="004B6BFD" w:rsidP="002156BF">
      <w:pPr>
        <w:pStyle w:val="Titel1"/>
        <w:suppressAutoHyphens/>
      </w:pPr>
      <w:r w:rsidRPr="00EA6A26">
        <w:t>Nuovi utensili da taglio per le riciclatrici-stabilizzatrici Wirtgen</w:t>
      </w:r>
    </w:p>
    <w:p w14:paraId="2F2257FE" w14:textId="77777777" w:rsidR="00D86B0B" w:rsidRPr="00EA6A26" w:rsidRDefault="00D86B0B" w:rsidP="00BF54E8"/>
    <w:p w14:paraId="539681D1" w14:textId="245E82FC" w:rsidR="00491C3C" w:rsidRPr="00EA6A26" w:rsidRDefault="004B6BFD" w:rsidP="00417CC7">
      <w:pPr>
        <w:pStyle w:val="Subtitel1"/>
        <w:jc w:val="both"/>
      </w:pPr>
      <w:r w:rsidRPr="00EA6A26">
        <w:t xml:space="preserve">Al </w:t>
      </w:r>
      <w:proofErr w:type="spellStart"/>
      <w:r w:rsidRPr="00EA6A26">
        <w:t>bauma</w:t>
      </w:r>
      <w:proofErr w:type="spellEnd"/>
      <w:r w:rsidRPr="00EA6A26">
        <w:t xml:space="preserve"> 2016 Wirtgen </w:t>
      </w:r>
      <w:r w:rsidR="006F6422" w:rsidRPr="00EA6A26">
        <w:t xml:space="preserve">espone </w:t>
      </w:r>
      <w:r w:rsidRPr="00EA6A26">
        <w:t>non solo la gamma più ampia al mondo di prodotti per il riciclaggio a freddo e la stabilizzazione delle terre. Oltre alle macchine, influisce in misura sostanziale sulla qualità e sull’economicità dell’applicazione anche la scelta corretta degli utensili da taglio. Wirtgen ha ora affinato ulteriormente la propria gamma di prodotti da taglio.</w:t>
      </w:r>
    </w:p>
    <w:p w14:paraId="4FFF00E6" w14:textId="77777777" w:rsidR="00B0640F" w:rsidRPr="00EA6A26" w:rsidRDefault="00B0640F" w:rsidP="00417CC7">
      <w:pPr>
        <w:pStyle w:val="Subtitel1"/>
        <w:jc w:val="both"/>
      </w:pPr>
    </w:p>
    <w:p w14:paraId="04D24675" w14:textId="16FAAD85" w:rsidR="00487AEE" w:rsidRPr="00EA6A26" w:rsidRDefault="003C4D11" w:rsidP="00536FAA">
      <w:pPr>
        <w:jc w:val="both"/>
      </w:pPr>
      <w:r w:rsidRPr="00EA6A26">
        <w:t xml:space="preserve">Nessun terreno è uguale all’altro. Talvolta capita che detriti da demolizione o grandi massi rendano difficile la stabilizzazione delle terre, altre volte lo strato di base ammalorato </w:t>
      </w:r>
      <w:proofErr w:type="gramStart"/>
      <w:r w:rsidRPr="00EA6A26">
        <w:t>è</w:t>
      </w:r>
      <w:proofErr w:type="gramEnd"/>
      <w:r w:rsidRPr="00EA6A26">
        <w:t xml:space="preserve"> frammisto di materiali abrasivi. In</w:t>
      </w:r>
      <w:r w:rsidR="00157DE3">
        <w:t xml:space="preserve"> altre par</w:t>
      </w:r>
      <w:r w:rsidRPr="00EA6A26">
        <w:t>o</w:t>
      </w:r>
      <w:r w:rsidR="00157DE3">
        <w:t>le</w:t>
      </w:r>
      <w:r w:rsidRPr="00EA6A26">
        <w:t xml:space="preserve">, non </w:t>
      </w:r>
      <w:r w:rsidR="00157DE3">
        <w:t xml:space="preserve">è </w:t>
      </w:r>
      <w:r w:rsidRPr="00EA6A26">
        <w:t>sol</w:t>
      </w:r>
      <w:r w:rsidR="00157DE3">
        <w:t>tant</w:t>
      </w:r>
      <w:r w:rsidRPr="00EA6A26">
        <w:t xml:space="preserve">o il conglomerato fresato </w:t>
      </w:r>
      <w:r w:rsidR="00157DE3">
        <w:t xml:space="preserve">a </w:t>
      </w:r>
      <w:r w:rsidRPr="00EA6A26">
        <w:t>varia</w:t>
      </w:r>
      <w:r w:rsidR="00157DE3">
        <w:t>re</w:t>
      </w:r>
      <w:r w:rsidRPr="00EA6A26">
        <w:t xml:space="preserve"> parecchio, </w:t>
      </w:r>
      <w:r w:rsidR="00CC1C10">
        <w:t xml:space="preserve">ma </w:t>
      </w:r>
      <w:r w:rsidRPr="00EA6A26">
        <w:t xml:space="preserve">anche le forze agenti sul rotore di fresatura e miscelazione sono molto variabili. Per condizioni operative particolarmente gravose Wirtgen </w:t>
      </w:r>
      <w:proofErr w:type="gramStart"/>
      <w:r w:rsidRPr="00EA6A26">
        <w:t>manda</w:t>
      </w:r>
      <w:proofErr w:type="gramEnd"/>
      <w:r w:rsidRPr="00EA6A26">
        <w:t xml:space="preserve"> in campo i denti a codolo cilindrico della nuova GENERAZIONE Z e il sistema </w:t>
      </w:r>
      <w:proofErr w:type="spellStart"/>
      <w:r w:rsidRPr="00EA6A26">
        <w:t>HT22</w:t>
      </w:r>
      <w:proofErr w:type="spellEnd"/>
      <w:r w:rsidRPr="00EA6A26">
        <w:t xml:space="preserve"> di cambio rapido de</w:t>
      </w:r>
      <w:r w:rsidR="00157DE3">
        <w:t>l</w:t>
      </w:r>
      <w:r w:rsidRPr="00EA6A26">
        <w:t xml:space="preserve"> </w:t>
      </w:r>
      <w:proofErr w:type="spellStart"/>
      <w:r w:rsidRPr="00EA6A26">
        <w:t>portadent</w:t>
      </w:r>
      <w:r w:rsidR="00157DE3">
        <w:t>e</w:t>
      </w:r>
      <w:proofErr w:type="spellEnd"/>
      <w:r w:rsidRPr="00EA6A26">
        <w:t xml:space="preserve"> – due nuovi prodotti tra loro coordinati. </w:t>
      </w:r>
      <w:r w:rsidR="00157DE3">
        <w:t>Che c</w:t>
      </w:r>
      <w:r w:rsidRPr="00EA6A26">
        <w:t xml:space="preserve">osa significa </w:t>
      </w:r>
      <w:r w:rsidR="00157DE3">
        <w:t xml:space="preserve">tutto </w:t>
      </w:r>
      <w:r w:rsidRPr="00EA6A26">
        <w:t>ciò</w:t>
      </w:r>
      <w:r w:rsidR="00157DE3">
        <w:t xml:space="preserve"> in termini pratici</w:t>
      </w:r>
      <w:r w:rsidRPr="00EA6A26">
        <w:t>?</w:t>
      </w:r>
    </w:p>
    <w:p w14:paraId="11E5B43F" w14:textId="77777777" w:rsidR="00487AEE" w:rsidRPr="00EA6A26" w:rsidRDefault="00487AEE" w:rsidP="00536FAA">
      <w:pPr>
        <w:jc w:val="both"/>
      </w:pPr>
    </w:p>
    <w:p w14:paraId="3440A224" w14:textId="4AA08E13" w:rsidR="00897B39" w:rsidRPr="00157DE3" w:rsidRDefault="00157DE3" w:rsidP="00536FAA">
      <w:pPr>
        <w:jc w:val="both"/>
        <w:rPr>
          <w:b/>
          <w:bCs/>
          <w:spacing w:val="-6"/>
        </w:rPr>
      </w:pPr>
      <w:r w:rsidRPr="00157DE3">
        <w:rPr>
          <w:b/>
          <w:bCs/>
          <w:spacing w:val="-6"/>
        </w:rPr>
        <w:t xml:space="preserve">GENERAZIONE Z + </w:t>
      </w:r>
      <w:proofErr w:type="spellStart"/>
      <w:r w:rsidRPr="00157DE3">
        <w:rPr>
          <w:b/>
          <w:bCs/>
          <w:spacing w:val="-6"/>
        </w:rPr>
        <w:t>HT22</w:t>
      </w:r>
      <w:proofErr w:type="spellEnd"/>
      <w:r w:rsidRPr="00157DE3">
        <w:rPr>
          <w:b/>
          <w:bCs/>
          <w:spacing w:val="-6"/>
        </w:rPr>
        <w:t>: un sistema</w:t>
      </w:r>
      <w:r w:rsidR="00536FAA" w:rsidRPr="00157DE3">
        <w:rPr>
          <w:b/>
          <w:bCs/>
          <w:spacing w:val="-6"/>
        </w:rPr>
        <w:t xml:space="preserve"> robust</w:t>
      </w:r>
      <w:r w:rsidRPr="00157DE3">
        <w:rPr>
          <w:b/>
          <w:bCs/>
          <w:spacing w:val="-6"/>
        </w:rPr>
        <w:t>o</w:t>
      </w:r>
      <w:r w:rsidR="00536FAA" w:rsidRPr="00157DE3">
        <w:rPr>
          <w:b/>
          <w:bCs/>
          <w:spacing w:val="-6"/>
        </w:rPr>
        <w:t xml:space="preserve"> </w:t>
      </w:r>
      <w:r w:rsidRPr="00157DE3">
        <w:rPr>
          <w:b/>
          <w:bCs/>
          <w:spacing w:val="-6"/>
        </w:rPr>
        <w:t>che promette</w:t>
      </w:r>
      <w:r w:rsidR="00536FAA" w:rsidRPr="00157DE3">
        <w:rPr>
          <w:b/>
          <w:bCs/>
          <w:spacing w:val="-6"/>
        </w:rPr>
        <w:t xml:space="preserve"> lunghe durate </w:t>
      </w:r>
      <w:proofErr w:type="gramStart"/>
      <w:r w:rsidR="00536FAA" w:rsidRPr="00157DE3">
        <w:rPr>
          <w:b/>
          <w:bCs/>
          <w:spacing w:val="-6"/>
        </w:rPr>
        <w:t>utili</w:t>
      </w:r>
      <w:proofErr w:type="gramEnd"/>
    </w:p>
    <w:p w14:paraId="2E98FCF8" w14:textId="60A71DF6" w:rsidR="00543601" w:rsidRPr="00EA6A26" w:rsidRDefault="004C04EC" w:rsidP="00536FAA">
      <w:pPr>
        <w:jc w:val="both"/>
      </w:pPr>
      <w:r w:rsidRPr="00EA6A26">
        <w:t>Primo: maggiore resistenza agli urti. Tra le altre cose, nei denti a codolo cilindrico della GENERAZIONE Z è stata rinforzata la ridisegnata punta in carburo metallico e la qualità di tale materiale è stata ulteriormente ottimizzata. Di conseguenza è aumentata la resistenza alla rottura e agli urti de</w:t>
      </w:r>
      <w:r w:rsidR="00C52BD4">
        <w:t>i</w:t>
      </w:r>
      <w:r w:rsidRPr="00EA6A26">
        <w:t xml:space="preserve"> dent</w:t>
      </w:r>
      <w:r w:rsidR="00C52BD4">
        <w:t>i</w:t>
      </w:r>
      <w:r w:rsidRPr="00EA6A26">
        <w:t xml:space="preserve"> nei confronti di grandi massi e di materiali abrasivi.</w:t>
      </w:r>
    </w:p>
    <w:p w14:paraId="3E2D9148" w14:textId="77777777" w:rsidR="008500F0" w:rsidRPr="00EA6A26" w:rsidRDefault="008500F0" w:rsidP="00536FAA">
      <w:pPr>
        <w:jc w:val="both"/>
      </w:pPr>
    </w:p>
    <w:p w14:paraId="752B532A" w14:textId="4DE37B88" w:rsidR="00BC587A" w:rsidRPr="00EA6A26" w:rsidRDefault="004C04EC" w:rsidP="00536FAA">
      <w:pPr>
        <w:jc w:val="both"/>
      </w:pPr>
      <w:r w:rsidRPr="00EA6A26">
        <w:t>Secondo: usura</w:t>
      </w:r>
      <w:r w:rsidR="00C52BD4">
        <w:t xml:space="preserve"> ridotta</w:t>
      </w:r>
      <w:r w:rsidRPr="00EA6A26">
        <w:t xml:space="preserve">. Anche il corpo </w:t>
      </w:r>
      <w:proofErr w:type="gramStart"/>
      <w:r w:rsidRPr="00EA6A26">
        <w:t>in</w:t>
      </w:r>
      <w:proofErr w:type="gramEnd"/>
      <w:r w:rsidRPr="00EA6A26">
        <w:t xml:space="preserve"> acciaio, la rondella d’usura e la molla del dente sono stati modificati nei dettagli. Tutti i </w:t>
      </w:r>
      <w:proofErr w:type="gramStart"/>
      <w:r w:rsidRPr="00EA6A26">
        <w:t>componenti</w:t>
      </w:r>
      <w:proofErr w:type="gramEnd"/>
      <w:r w:rsidRPr="00EA6A26">
        <w:t xml:space="preserve"> della GENERAZIONE Z </w:t>
      </w:r>
      <w:r w:rsidR="00C52BD4">
        <w:t>ri</w:t>
      </w:r>
      <w:r w:rsidRPr="00EA6A26">
        <w:t>s</w:t>
      </w:r>
      <w:r w:rsidR="00C52BD4">
        <w:t>ulta</w:t>
      </w:r>
      <w:r w:rsidRPr="00EA6A26">
        <w:t xml:space="preserve">no pertanto più longevi. La possibilità di impiegare denti con diametro del gambo </w:t>
      </w:r>
      <w:r w:rsidR="00C52BD4">
        <w:t>pari a</w:t>
      </w:r>
      <w:r w:rsidRPr="00EA6A26">
        <w:t xml:space="preserve"> 22 mm o </w:t>
      </w:r>
      <w:r w:rsidR="00C52BD4">
        <w:t xml:space="preserve">a </w:t>
      </w:r>
      <w:r w:rsidRPr="00EA6A26">
        <w:t>25 </w:t>
      </w:r>
      <w:proofErr w:type="gramStart"/>
      <w:r w:rsidRPr="00EA6A26">
        <w:t>mm</w:t>
      </w:r>
      <w:proofErr w:type="gramEnd"/>
      <w:r w:rsidRPr="00EA6A26">
        <w:t xml:space="preserve"> permette agli utenti di reagire ai diversi requisiti.</w:t>
      </w:r>
    </w:p>
    <w:p w14:paraId="1A227490" w14:textId="77777777" w:rsidR="00BC587A" w:rsidRPr="00EA6A26" w:rsidRDefault="00BC587A" w:rsidP="00536FAA">
      <w:pPr>
        <w:jc w:val="both"/>
      </w:pPr>
    </w:p>
    <w:p w14:paraId="36DE66FE" w14:textId="20AB6E93" w:rsidR="0086523A" w:rsidRPr="00EA6A26" w:rsidRDefault="008500F0" w:rsidP="00536FAA">
      <w:pPr>
        <w:jc w:val="both"/>
      </w:pPr>
      <w:r w:rsidRPr="00EA6A26">
        <w:t xml:space="preserve">Terzo: maggiore stabilità. Il sistema </w:t>
      </w:r>
      <w:proofErr w:type="spellStart"/>
      <w:r w:rsidRPr="00EA6A26">
        <w:t>HT22</w:t>
      </w:r>
      <w:proofErr w:type="spellEnd"/>
      <w:r w:rsidRPr="00EA6A26">
        <w:t xml:space="preserve"> di cambio rapido de</w:t>
      </w:r>
      <w:r w:rsidR="00C52BD4">
        <w:t>l</w:t>
      </w:r>
      <w:r w:rsidRPr="00EA6A26">
        <w:t xml:space="preserve"> </w:t>
      </w:r>
      <w:proofErr w:type="spellStart"/>
      <w:r w:rsidRPr="00EA6A26">
        <w:t>portadent</w:t>
      </w:r>
      <w:r w:rsidR="00C52BD4">
        <w:t>e</w:t>
      </w:r>
      <w:proofErr w:type="spellEnd"/>
      <w:r w:rsidRPr="00EA6A26">
        <w:t xml:space="preserve"> è stato sviluppato completamente ex novo. L’adozione di una nuova geometria e di una nuova qualità di acciaio per </w:t>
      </w:r>
      <w:proofErr w:type="gramStart"/>
      <w:r w:rsidRPr="00EA6A26">
        <w:t>componenti</w:t>
      </w:r>
      <w:proofErr w:type="gramEnd"/>
      <w:r w:rsidRPr="00EA6A26">
        <w:t xml:space="preserve"> come il traversino e le parti inferiore e superiore del </w:t>
      </w:r>
      <w:proofErr w:type="spellStart"/>
      <w:r w:rsidRPr="00EA6A26">
        <w:t>portadente</w:t>
      </w:r>
      <w:proofErr w:type="spellEnd"/>
      <w:r w:rsidRPr="00EA6A26">
        <w:t xml:space="preserve"> rende tali componenti estremamente robusti. La testa a martello del traversino riprogettato funge da </w:t>
      </w:r>
      <w:proofErr w:type="gramStart"/>
      <w:r w:rsidRPr="00EA6A26">
        <w:t>ulteriore</w:t>
      </w:r>
      <w:proofErr w:type="gramEnd"/>
      <w:r w:rsidRPr="00EA6A26">
        <w:t xml:space="preserve"> protezione contro l’usura.</w:t>
      </w:r>
    </w:p>
    <w:p w14:paraId="0D21FE56" w14:textId="77777777" w:rsidR="00737501" w:rsidRPr="00EA6A26" w:rsidRDefault="00737501" w:rsidP="00536FAA">
      <w:pPr>
        <w:jc w:val="both"/>
      </w:pPr>
    </w:p>
    <w:p w14:paraId="6C26D778" w14:textId="6BBDC974" w:rsidR="003C4D11" w:rsidRPr="00EA6A26" w:rsidRDefault="0086523A" w:rsidP="00715AF9">
      <w:pPr>
        <w:jc w:val="both"/>
      </w:pPr>
      <w:proofErr w:type="gramStart"/>
      <w:r w:rsidRPr="00EA6A26">
        <w:t>Tutto sommato</w:t>
      </w:r>
      <w:proofErr w:type="gramEnd"/>
      <w:r w:rsidRPr="00EA6A26">
        <w:t xml:space="preserve">, per l’utente ciò si traduce immediatamente in una maggiore durata utile del dente e del sistema di cambio rapido del </w:t>
      </w:r>
      <w:proofErr w:type="spellStart"/>
      <w:r w:rsidRPr="00EA6A26">
        <w:t>portadente</w:t>
      </w:r>
      <w:proofErr w:type="spellEnd"/>
      <w:r w:rsidRPr="00EA6A26">
        <w:t xml:space="preserve">. I vantaggi da ciò risultanti (cambio dei denti meno frequente, tempi di fermo macchina ridotti, </w:t>
      </w:r>
      <w:r w:rsidRPr="00EA6A26">
        <w:lastRenderedPageBreak/>
        <w:t>intervalli di manutenzione più lunghi e maggiore disponibilità della macchina) permettono di stabilizzare in modo economico persino i terreni più difficili e di riciclare in modo efficiente pavimentazioni stradali fortemente ammalorate.</w:t>
      </w:r>
    </w:p>
    <w:p w14:paraId="29251992" w14:textId="77777777" w:rsidR="004A1713" w:rsidRPr="00EA6A26" w:rsidRDefault="004A1713" w:rsidP="00715AF9">
      <w:pPr>
        <w:jc w:val="both"/>
      </w:pPr>
    </w:p>
    <w:p w14:paraId="0F52BD00" w14:textId="6AE64EFD" w:rsidR="00536FAA" w:rsidRPr="00EA6A26" w:rsidRDefault="00536FAA" w:rsidP="00536FAA">
      <w:pPr>
        <w:jc w:val="both"/>
        <w:rPr>
          <w:b/>
        </w:rPr>
      </w:pPr>
      <w:proofErr w:type="gramStart"/>
      <w:r w:rsidRPr="00EA6A26">
        <w:rPr>
          <w:b/>
        </w:rPr>
        <w:t xml:space="preserve">Disponibile per tutte le riciclatrici gommate e tutte le stabilizzatrici </w:t>
      </w:r>
      <w:proofErr w:type="spellStart"/>
      <w:r w:rsidRPr="00EA6A26">
        <w:rPr>
          <w:b/>
        </w:rPr>
        <w:t>semiportate</w:t>
      </w:r>
      <w:proofErr w:type="spellEnd"/>
      <w:r w:rsidRPr="00EA6A26">
        <w:rPr>
          <w:b/>
        </w:rPr>
        <w:t xml:space="preserve"> </w:t>
      </w:r>
      <w:r w:rsidR="00C52BD4">
        <w:rPr>
          <w:b/>
        </w:rPr>
        <w:t xml:space="preserve">di casa </w:t>
      </w:r>
      <w:r w:rsidRPr="00EA6A26">
        <w:rPr>
          <w:b/>
        </w:rPr>
        <w:t>Wirtgen</w:t>
      </w:r>
      <w:proofErr w:type="gramEnd"/>
    </w:p>
    <w:p w14:paraId="74295CFF" w14:textId="053B77B0" w:rsidR="005F1786" w:rsidRPr="00EA6A26" w:rsidRDefault="00BC587A" w:rsidP="00536FAA">
      <w:pPr>
        <w:jc w:val="both"/>
      </w:pPr>
      <w:r w:rsidRPr="00EA6A26">
        <w:t xml:space="preserve">Il sistema complessivo ha </w:t>
      </w:r>
      <w:proofErr w:type="gramStart"/>
      <w:r w:rsidRPr="00EA6A26">
        <w:t>dato</w:t>
      </w:r>
      <w:proofErr w:type="gramEnd"/>
      <w:r w:rsidRPr="00EA6A26">
        <w:t xml:space="preserve"> prova della sua affidabilità in una lunga serie di </w:t>
      </w:r>
      <w:r w:rsidR="00CC1C10">
        <w:t>prove</w:t>
      </w:r>
      <w:r w:rsidRPr="00EA6A26">
        <w:t xml:space="preserve"> e oltre 15 000 ore di servizio nelle più diverse applicazioni. I denti della GENERAZIONE Z e il sistema </w:t>
      </w:r>
      <w:proofErr w:type="spellStart"/>
      <w:r w:rsidRPr="00EA6A26">
        <w:t>HT22</w:t>
      </w:r>
      <w:proofErr w:type="spellEnd"/>
      <w:r w:rsidRPr="00EA6A26">
        <w:t xml:space="preserve"> sono disponibili per tutte le riciclatrici-stabilizzatrici semoventi </w:t>
      </w:r>
      <w:r w:rsidR="000C4DD7">
        <w:t>gommate</w:t>
      </w:r>
      <w:r w:rsidRPr="00EA6A26">
        <w:t xml:space="preserve"> della serie </w:t>
      </w:r>
      <w:proofErr w:type="spellStart"/>
      <w:r w:rsidRPr="00EA6A26">
        <w:t>WR</w:t>
      </w:r>
      <w:proofErr w:type="spellEnd"/>
      <w:r w:rsidRPr="00EA6A26">
        <w:t xml:space="preserve"> e per le stabilizzatrici </w:t>
      </w:r>
      <w:proofErr w:type="spellStart"/>
      <w:r w:rsidRPr="00EA6A26">
        <w:t>semiportate</w:t>
      </w:r>
      <w:proofErr w:type="spellEnd"/>
      <w:r w:rsidRPr="00EA6A26">
        <w:t xml:space="preserve"> della serie </w:t>
      </w:r>
      <w:proofErr w:type="spellStart"/>
      <w:r w:rsidRPr="00EA6A26">
        <w:t>WS</w:t>
      </w:r>
      <w:proofErr w:type="spellEnd"/>
      <w:r w:rsidRPr="00EA6A26">
        <w:t xml:space="preserve"> – dalla </w:t>
      </w:r>
      <w:proofErr w:type="spellStart"/>
      <w:r w:rsidRPr="00EA6A26">
        <w:t>WR</w:t>
      </w:r>
      <w:proofErr w:type="spellEnd"/>
      <w:r w:rsidRPr="00EA6A26">
        <w:t> </w:t>
      </w:r>
      <w:proofErr w:type="spellStart"/>
      <w:r w:rsidRPr="00EA6A26">
        <w:t>200i</w:t>
      </w:r>
      <w:proofErr w:type="spellEnd"/>
      <w:r w:rsidRPr="00EA6A26">
        <w:t xml:space="preserve"> alla </w:t>
      </w:r>
      <w:proofErr w:type="spellStart"/>
      <w:r w:rsidRPr="00EA6A26">
        <w:t>WR</w:t>
      </w:r>
      <w:proofErr w:type="spellEnd"/>
      <w:r w:rsidRPr="00EA6A26">
        <w:t xml:space="preserve"> 250, passando per la </w:t>
      </w:r>
      <w:proofErr w:type="spellStart"/>
      <w:r w:rsidRPr="00EA6A26">
        <w:t>WR</w:t>
      </w:r>
      <w:proofErr w:type="spellEnd"/>
      <w:r w:rsidRPr="00EA6A26">
        <w:t> </w:t>
      </w:r>
      <w:proofErr w:type="spellStart"/>
      <w:r w:rsidRPr="00EA6A26">
        <w:t>240i</w:t>
      </w:r>
      <w:proofErr w:type="spellEnd"/>
      <w:r w:rsidRPr="00EA6A26">
        <w:t xml:space="preserve">, fino alle stabilizzatrici </w:t>
      </w:r>
      <w:proofErr w:type="spellStart"/>
      <w:r w:rsidRPr="00EA6A26">
        <w:t>semiportate</w:t>
      </w:r>
      <w:proofErr w:type="spellEnd"/>
      <w:r w:rsidRPr="00EA6A26">
        <w:t xml:space="preserve"> </w:t>
      </w:r>
      <w:proofErr w:type="spellStart"/>
      <w:r w:rsidRPr="00EA6A26">
        <w:t>WS</w:t>
      </w:r>
      <w:proofErr w:type="spellEnd"/>
      <w:r w:rsidRPr="00EA6A26">
        <w:t xml:space="preserve"> 220 e </w:t>
      </w:r>
      <w:proofErr w:type="spellStart"/>
      <w:r w:rsidRPr="00EA6A26">
        <w:t>WS</w:t>
      </w:r>
      <w:proofErr w:type="spellEnd"/>
      <w:r w:rsidRPr="00EA6A26">
        <w:t> 250.</w:t>
      </w:r>
    </w:p>
    <w:p w14:paraId="71E1A516" w14:textId="77777777" w:rsidR="00DB3A24" w:rsidRPr="00EA6A26" w:rsidRDefault="00DB3A24" w:rsidP="00536FAA">
      <w:pPr>
        <w:jc w:val="both"/>
      </w:pPr>
    </w:p>
    <w:p w14:paraId="78871FF8" w14:textId="77777777" w:rsidR="00E445A1" w:rsidRPr="00EA6A26" w:rsidRDefault="00E445A1" w:rsidP="00536FAA">
      <w:pPr>
        <w:jc w:val="both"/>
      </w:pPr>
    </w:p>
    <w:p w14:paraId="72E26B58" w14:textId="1471F76A" w:rsidR="00A844C7" w:rsidRPr="00EA6A26" w:rsidRDefault="00A844C7" w:rsidP="005F1786">
      <w:pPr>
        <w:pStyle w:val="Subtitel-Unterstrichen1"/>
      </w:pPr>
      <w:proofErr w:type="spellStart"/>
      <w:r w:rsidRPr="00EA6A26">
        <w:t>F</w:t>
      </w:r>
      <w:r w:rsidR="007B7AD8">
        <w:t>otos</w:t>
      </w:r>
      <w:proofErr w:type="spellEnd"/>
      <w:r w:rsidRPr="00EA6A26">
        <w:t>:</w:t>
      </w:r>
    </w:p>
    <w:p w14:paraId="733D11B7" w14:textId="77777777" w:rsidR="003E65BE" w:rsidRPr="00EA6A26" w:rsidRDefault="003E65BE" w:rsidP="00BF54E8"/>
    <w:tbl>
      <w:tblPr>
        <w:tblStyle w:val="Fotos"/>
        <w:tblW w:w="9639" w:type="dxa"/>
        <w:tblLayout w:type="fixed"/>
        <w:tblLook w:val="04A0" w:firstRow="1" w:lastRow="0" w:firstColumn="1" w:lastColumn="0" w:noHBand="0" w:noVBand="1"/>
      </w:tblPr>
      <w:tblGrid>
        <w:gridCol w:w="4824"/>
        <w:gridCol w:w="4815"/>
      </w:tblGrid>
      <w:tr w:rsidR="00BF54E8" w:rsidRPr="00EA6A26" w14:paraId="07715B22" w14:textId="77777777" w:rsidTr="00127DE7">
        <w:tc>
          <w:tcPr>
            <w:tcW w:w="4824" w:type="dxa"/>
          </w:tcPr>
          <w:p w14:paraId="08DD9856" w14:textId="77777777" w:rsidR="00BF54E8" w:rsidRPr="00EA6A26" w:rsidRDefault="00BC587A" w:rsidP="00BF54E8">
            <w:r w:rsidRPr="00EA6A26">
              <w:t xml:space="preserve">     </w:t>
            </w:r>
            <w:r w:rsidRPr="00EA6A26">
              <w:rPr>
                <w:noProof/>
                <w:szCs w:val="20"/>
                <w:lang w:val="de-DE" w:eastAsia="de-DE" w:bidi="ar-SA"/>
              </w:rPr>
              <w:drawing>
                <wp:inline distT="0" distB="0" distL="0" distR="0" wp14:anchorId="0A159EA2" wp14:editId="7A73571C">
                  <wp:extent cx="1518699" cy="1784772"/>
                  <wp:effectExtent l="0" t="0" r="5715" b="6350"/>
                  <wp:docPr id="1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aten Server II:WIRTGEN:Massnahmen 2015:23107-140639_Corporate_Design_Wirtgen_Group:Corporate_Design_Umsetzung:Maßnahmen_2015:GA:Pressemitteilung:Vorlagen_Word:Wirtgen 07.10.:GmbH Kopi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1342" cy="17878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5" w:type="dxa"/>
          </w:tcPr>
          <w:p w14:paraId="3829E2A6" w14:textId="3250FA52" w:rsidR="00BF54E8" w:rsidRPr="00EA6A26" w:rsidRDefault="00C52BD4" w:rsidP="00BE470C">
            <w:pPr>
              <w:pStyle w:val="Subtitel1"/>
            </w:pPr>
            <w:r>
              <w:t xml:space="preserve">GENERAZIONE Z + </w:t>
            </w:r>
            <w:proofErr w:type="spellStart"/>
            <w:r>
              <w:t>HT22</w:t>
            </w:r>
            <w:proofErr w:type="spellEnd"/>
          </w:p>
          <w:p w14:paraId="39E8D81E" w14:textId="77777777" w:rsidR="00BF54E8" w:rsidRPr="00EA6A26" w:rsidRDefault="00BF54E8" w:rsidP="00BF54E8"/>
          <w:p w14:paraId="34B7BA43" w14:textId="25F06956" w:rsidR="00BC587A" w:rsidRPr="00EA6A26" w:rsidRDefault="00EE74D5" w:rsidP="00C52BD4">
            <w:r w:rsidRPr="00EA6A26">
              <w:t xml:space="preserve">I denti Wirtgen della GENERAZIONE Z e il sistema </w:t>
            </w:r>
            <w:proofErr w:type="spellStart"/>
            <w:r w:rsidRPr="00EA6A26">
              <w:t>HT22</w:t>
            </w:r>
            <w:proofErr w:type="spellEnd"/>
            <w:r w:rsidRPr="00EA6A26">
              <w:t xml:space="preserve"> di cambio rapido de</w:t>
            </w:r>
            <w:r w:rsidR="00C52BD4">
              <w:t>l</w:t>
            </w:r>
            <w:r w:rsidRPr="00EA6A26">
              <w:t xml:space="preserve"> </w:t>
            </w:r>
            <w:proofErr w:type="spellStart"/>
            <w:r w:rsidRPr="00EA6A26">
              <w:t>portadent</w:t>
            </w:r>
            <w:r w:rsidR="00C52BD4">
              <w:t>e</w:t>
            </w:r>
            <w:proofErr w:type="spellEnd"/>
            <w:r w:rsidRPr="00EA6A26">
              <w:t xml:space="preserve"> sono stati sviluppati per soddisfare i particolari </w:t>
            </w:r>
            <w:proofErr w:type="gramStart"/>
            <w:r w:rsidRPr="00EA6A26">
              <w:t>requisiti richiesti</w:t>
            </w:r>
            <w:proofErr w:type="gramEnd"/>
            <w:r w:rsidRPr="00EA6A26">
              <w:t xml:space="preserve"> negli interventi di riciclaggio a freddo e di stabilizzazione delle terre. Con essi è possibile lavorare in modo economico gli strati di base e i terreni più ostinati. </w:t>
            </w:r>
            <w:proofErr w:type="gramStart"/>
            <w:r w:rsidRPr="00EA6A26">
              <w:t>A seconda delle</w:t>
            </w:r>
            <w:proofErr w:type="gramEnd"/>
            <w:r w:rsidRPr="00EA6A26">
              <w:t xml:space="preserve"> esigenze sono disponibili denti con diametro del gambo </w:t>
            </w:r>
            <w:r w:rsidR="00C52BD4">
              <w:t>par</w:t>
            </w:r>
            <w:r w:rsidRPr="00EA6A26">
              <w:t xml:space="preserve">i </w:t>
            </w:r>
            <w:r w:rsidR="00C52BD4">
              <w:t xml:space="preserve">a </w:t>
            </w:r>
            <w:r w:rsidRPr="00EA6A26">
              <w:t xml:space="preserve">22 mm o </w:t>
            </w:r>
            <w:r w:rsidR="00C52BD4">
              <w:t xml:space="preserve">a </w:t>
            </w:r>
            <w:r w:rsidRPr="00EA6A26">
              <w:t>25 mm.</w:t>
            </w:r>
          </w:p>
        </w:tc>
      </w:tr>
    </w:tbl>
    <w:p w14:paraId="22C1E312" w14:textId="77777777" w:rsidR="005F1786" w:rsidRPr="00EA6A26" w:rsidRDefault="005F1786" w:rsidP="00BF54E8"/>
    <w:tbl>
      <w:tblPr>
        <w:tblStyle w:val="Fotos"/>
        <w:tblW w:w="9639" w:type="dxa"/>
        <w:tblLayout w:type="fixed"/>
        <w:tblLook w:val="04A0" w:firstRow="1" w:lastRow="0" w:firstColumn="1" w:lastColumn="0" w:noHBand="0" w:noVBand="1"/>
      </w:tblPr>
      <w:tblGrid>
        <w:gridCol w:w="4824"/>
        <w:gridCol w:w="4815"/>
      </w:tblGrid>
      <w:tr w:rsidR="00FD5458" w:rsidRPr="00EA6A26" w14:paraId="1702174E" w14:textId="77777777" w:rsidTr="00C52BD4">
        <w:tc>
          <w:tcPr>
            <w:tcW w:w="4824" w:type="dxa"/>
          </w:tcPr>
          <w:p w14:paraId="0330FA77" w14:textId="77777777" w:rsidR="00FD5458" w:rsidRPr="00EA6A26" w:rsidRDefault="00FD5458" w:rsidP="00C52BD4">
            <w:r w:rsidRPr="00EA6A26">
              <w:t xml:space="preserve">     </w:t>
            </w:r>
            <w:r w:rsidRPr="00EA6A26">
              <w:rPr>
                <w:noProof/>
                <w:szCs w:val="20"/>
                <w:lang w:val="de-DE" w:eastAsia="de-DE" w:bidi="ar-SA"/>
              </w:rPr>
              <w:drawing>
                <wp:inline distT="0" distB="0" distL="0" distR="0" wp14:anchorId="35E1B818" wp14:editId="2F60525A">
                  <wp:extent cx="2115047" cy="1643047"/>
                  <wp:effectExtent l="0" t="0" r="0" b="0"/>
                  <wp:docPr id="3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aten Server II:WIRTGEN:Massnahmen 2015:23107-140639_Corporate_Design_Wirtgen_Group:Corporate_Design_Umsetzung:Maßnahmen_2015:GA:Pressemitteilung:Vorlagen_Word:Wirtgen 07.10.:GmbH Kopi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9728" cy="16466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5" w:type="dxa"/>
          </w:tcPr>
          <w:p w14:paraId="0905614E" w14:textId="77777777" w:rsidR="00FD5458" w:rsidRPr="00EA6A26" w:rsidRDefault="00A5131B" w:rsidP="00C52BD4">
            <w:pPr>
              <w:pStyle w:val="Subtitel1"/>
            </w:pPr>
            <w:proofErr w:type="spellStart"/>
            <w:r w:rsidRPr="00EA6A26">
              <w:t>WR240i_00440_HI</w:t>
            </w:r>
            <w:proofErr w:type="spellEnd"/>
          </w:p>
          <w:p w14:paraId="2E72980C" w14:textId="77777777" w:rsidR="00FD5458" w:rsidRPr="00EA6A26" w:rsidRDefault="00FD5458" w:rsidP="00C52BD4"/>
          <w:p w14:paraId="7D3FE35B" w14:textId="4ADEC338" w:rsidR="00FD5458" w:rsidRPr="00EA6A26" w:rsidRDefault="00A5131B" w:rsidP="000D3CF5">
            <w:r w:rsidRPr="00EA6A26">
              <w:t xml:space="preserve">Durante il riciclaggio a freddo la Wirtgen </w:t>
            </w:r>
            <w:proofErr w:type="spellStart"/>
            <w:r w:rsidRPr="00EA6A26">
              <w:t>WR</w:t>
            </w:r>
            <w:proofErr w:type="spellEnd"/>
            <w:r w:rsidRPr="00EA6A26">
              <w:t> </w:t>
            </w:r>
            <w:proofErr w:type="spellStart"/>
            <w:r w:rsidRPr="00EA6A26">
              <w:t>240i</w:t>
            </w:r>
            <w:proofErr w:type="spellEnd"/>
            <w:r w:rsidRPr="00EA6A26">
              <w:t xml:space="preserve"> produce uno strato di base di alta qualità riutilizzando al 100% il materiale esistente. Con gli utensili da taglio della GENERAZIONE Z e il sistema </w:t>
            </w:r>
            <w:proofErr w:type="spellStart"/>
            <w:proofErr w:type="gramStart"/>
            <w:r w:rsidRPr="00EA6A26">
              <w:t>HT22</w:t>
            </w:r>
            <w:proofErr w:type="spellEnd"/>
            <w:r w:rsidRPr="00EA6A26">
              <w:t xml:space="preserve"> il</w:t>
            </w:r>
            <w:proofErr w:type="gramEnd"/>
            <w:r w:rsidRPr="00EA6A26">
              <w:t xml:space="preserve"> ripristino della pavimentazione stradale diventa ancora più economico.</w:t>
            </w:r>
          </w:p>
        </w:tc>
      </w:tr>
    </w:tbl>
    <w:p w14:paraId="4644C328" w14:textId="77777777" w:rsidR="00FD5458" w:rsidRPr="00EA6A26" w:rsidRDefault="00FD5458">
      <w:pPr>
        <w:spacing w:after="200"/>
        <w:contextualSpacing w:val="0"/>
      </w:pPr>
      <w:r w:rsidRPr="00EA6A26">
        <w:br w:type="page"/>
      </w:r>
    </w:p>
    <w:tbl>
      <w:tblPr>
        <w:tblStyle w:val="Fotos"/>
        <w:tblW w:w="9639" w:type="dxa"/>
        <w:tblLayout w:type="fixed"/>
        <w:tblLook w:val="04A0" w:firstRow="1" w:lastRow="0" w:firstColumn="1" w:lastColumn="0" w:noHBand="0" w:noVBand="1"/>
      </w:tblPr>
      <w:tblGrid>
        <w:gridCol w:w="4824"/>
        <w:gridCol w:w="4815"/>
      </w:tblGrid>
      <w:tr w:rsidR="003A39ED" w:rsidRPr="00EA6A26" w14:paraId="4FAC8424" w14:textId="77777777" w:rsidTr="00C52BD4">
        <w:tc>
          <w:tcPr>
            <w:tcW w:w="4824" w:type="dxa"/>
          </w:tcPr>
          <w:p w14:paraId="56FFBBBB" w14:textId="77777777" w:rsidR="003A39ED" w:rsidRPr="00EA6A26" w:rsidRDefault="003A39ED" w:rsidP="00C52BD4">
            <w:r w:rsidRPr="00EA6A26">
              <w:lastRenderedPageBreak/>
              <w:t xml:space="preserve">     </w:t>
            </w:r>
            <w:r w:rsidRPr="00EA6A26">
              <w:rPr>
                <w:noProof/>
                <w:szCs w:val="20"/>
                <w:lang w:val="de-DE" w:eastAsia="de-DE" w:bidi="ar-SA"/>
              </w:rPr>
              <w:drawing>
                <wp:inline distT="0" distB="0" distL="0" distR="0" wp14:anchorId="1D44142C" wp14:editId="57C6AEC7">
                  <wp:extent cx="2106000" cy="1401383"/>
                  <wp:effectExtent l="0" t="0" r="8890" b="8890"/>
                  <wp:docPr id="7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aten Server II:WIRTGEN:Massnahmen 2015:23107-140639_Corporate_Design_Wirtgen_Group:Corporate_Design_Umsetzung:Maßnahmen_2015:GA:Pressemitteilung:Vorlagen_Word:Wirtgen 07.10.:GmbH Kopi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6000" cy="14013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5" w:type="dxa"/>
          </w:tcPr>
          <w:p w14:paraId="2BD1EBD9" w14:textId="77777777" w:rsidR="003A39ED" w:rsidRPr="00EA6A26" w:rsidRDefault="00A5131B" w:rsidP="00C52BD4">
            <w:pPr>
              <w:pStyle w:val="Subtitel1"/>
            </w:pPr>
            <w:proofErr w:type="spellStart"/>
            <w:r w:rsidRPr="00EA6A26">
              <w:t>WS250_00706_HI</w:t>
            </w:r>
            <w:proofErr w:type="spellEnd"/>
          </w:p>
          <w:p w14:paraId="2F51A16D" w14:textId="77777777" w:rsidR="003A39ED" w:rsidRPr="00EA6A26" w:rsidRDefault="003A39ED" w:rsidP="00C52BD4"/>
          <w:p w14:paraId="69AA91E9" w14:textId="56224F22" w:rsidR="003A39ED" w:rsidRPr="00EA6A26" w:rsidRDefault="00744E8C" w:rsidP="000D3CF5">
            <w:r w:rsidRPr="00EA6A26">
              <w:t xml:space="preserve">La stabilizzazione delle terre è un metodo rispettoso delle risorse e conveniente rispetto alla convenzionale sostituzione del terreno. Per tale tipologia </w:t>
            </w:r>
            <w:proofErr w:type="gramStart"/>
            <w:r w:rsidRPr="00EA6A26">
              <w:t xml:space="preserve">di </w:t>
            </w:r>
            <w:proofErr w:type="gramEnd"/>
            <w:r w:rsidRPr="00EA6A26">
              <w:t xml:space="preserve">interventi trovano impiego anche le stabilizzatrici </w:t>
            </w:r>
            <w:proofErr w:type="spellStart"/>
            <w:r w:rsidRPr="00EA6A26">
              <w:t>semiportate</w:t>
            </w:r>
            <w:proofErr w:type="spellEnd"/>
            <w:r w:rsidRPr="00EA6A26">
              <w:t xml:space="preserve"> Wirtgen </w:t>
            </w:r>
            <w:proofErr w:type="spellStart"/>
            <w:r w:rsidRPr="00EA6A26">
              <w:t>WS</w:t>
            </w:r>
            <w:proofErr w:type="spellEnd"/>
            <w:r w:rsidRPr="00EA6A26">
              <w:t xml:space="preserve"> 220 e </w:t>
            </w:r>
            <w:proofErr w:type="spellStart"/>
            <w:r w:rsidRPr="00EA6A26">
              <w:t>WS</w:t>
            </w:r>
            <w:proofErr w:type="spellEnd"/>
            <w:r w:rsidRPr="00EA6A26">
              <w:t> 250, trainate da un trattore agricolo.</w:t>
            </w:r>
          </w:p>
        </w:tc>
      </w:tr>
    </w:tbl>
    <w:p w14:paraId="28563385" w14:textId="77777777" w:rsidR="00FD5458" w:rsidRPr="00EA6A26" w:rsidRDefault="00FD5458" w:rsidP="00BF54E8">
      <w:pPr>
        <w:sectPr w:rsidR="00FD5458" w:rsidRPr="00EA6A26" w:rsidSect="00BF54E8">
          <w:headerReference w:type="default" r:id="rId12"/>
          <w:footerReference w:type="default" r:id="rId13"/>
          <w:pgSz w:w="11906" w:h="16838" w:code="9"/>
          <w:pgMar w:top="3005" w:right="851" w:bottom="1134" w:left="1701" w:header="709" w:footer="437" w:gutter="0"/>
          <w:cols w:space="708"/>
          <w:docGrid w:linePitch="360"/>
        </w:sectPr>
      </w:pPr>
    </w:p>
    <w:p w14:paraId="0E033203" w14:textId="77777777" w:rsidR="003A39ED" w:rsidRDefault="003A39ED" w:rsidP="00BF54E8">
      <w:pPr>
        <w:pStyle w:val="Subtitel-Unterstrichen2"/>
      </w:pPr>
    </w:p>
    <w:p w14:paraId="48D7B3BA" w14:textId="77777777" w:rsidR="00D443CA" w:rsidRPr="00EA6A26" w:rsidRDefault="00D443CA" w:rsidP="00BF54E8">
      <w:pPr>
        <w:pStyle w:val="Subtitel-Unterstrichen2"/>
      </w:pPr>
      <w:bookmarkStart w:id="0" w:name="_GoBack"/>
      <w:bookmarkEnd w:id="0"/>
    </w:p>
    <w:p w14:paraId="0A2695DF" w14:textId="77777777" w:rsidR="00D443CA" w:rsidRPr="00765AB5" w:rsidRDefault="00D443CA" w:rsidP="00D443CA">
      <w:pPr>
        <w:pStyle w:val="Subtitel-Unterstrichen2"/>
        <w:rPr>
          <w:lang w:val="en-US"/>
        </w:rPr>
      </w:pPr>
      <w:r w:rsidRPr="00765AB5">
        <w:rPr>
          <w:lang w:val="en-US"/>
        </w:rPr>
        <w:t xml:space="preserve">Per </w:t>
      </w:r>
      <w:proofErr w:type="spellStart"/>
      <w:r w:rsidRPr="00765AB5">
        <w:rPr>
          <w:lang w:val="en-US"/>
        </w:rPr>
        <w:t>maggiori</w:t>
      </w:r>
      <w:proofErr w:type="spellEnd"/>
      <w:r w:rsidRPr="00765AB5">
        <w:rPr>
          <w:lang w:val="en-US"/>
        </w:rPr>
        <w:t xml:space="preserve"> </w:t>
      </w:r>
      <w:proofErr w:type="spellStart"/>
      <w:r w:rsidRPr="00765AB5">
        <w:rPr>
          <w:lang w:val="en-US"/>
        </w:rPr>
        <w:t>informazioni</w:t>
      </w:r>
      <w:proofErr w:type="spellEnd"/>
      <w:r w:rsidRPr="00765AB5">
        <w:rPr>
          <w:lang w:val="en-US"/>
        </w:rPr>
        <w:t xml:space="preserve"> </w:t>
      </w:r>
    </w:p>
    <w:p w14:paraId="05504915" w14:textId="77777777" w:rsidR="00D443CA" w:rsidRPr="00765AB5" w:rsidRDefault="00D443CA" w:rsidP="00D443CA">
      <w:pPr>
        <w:pStyle w:val="Subtitel-Unterstrichen2"/>
        <w:rPr>
          <w:highlight w:val="yellow"/>
          <w:lang w:val="en-US"/>
        </w:rPr>
      </w:pPr>
      <w:proofErr w:type="spellStart"/>
      <w:proofErr w:type="gramStart"/>
      <w:r w:rsidRPr="00765AB5">
        <w:rPr>
          <w:lang w:val="en-US"/>
        </w:rPr>
        <w:t>vogliate</w:t>
      </w:r>
      <w:proofErr w:type="spellEnd"/>
      <w:proofErr w:type="gramEnd"/>
      <w:r w:rsidRPr="00765AB5">
        <w:rPr>
          <w:lang w:val="en-US"/>
        </w:rPr>
        <w:t xml:space="preserve"> </w:t>
      </w:r>
      <w:proofErr w:type="spellStart"/>
      <w:r w:rsidRPr="00765AB5">
        <w:rPr>
          <w:lang w:val="en-US"/>
        </w:rPr>
        <w:t>contattare</w:t>
      </w:r>
      <w:proofErr w:type="spellEnd"/>
      <w:r w:rsidRPr="00765AB5">
        <w:rPr>
          <w:lang w:val="en-US"/>
        </w:rPr>
        <w:t>:</w:t>
      </w:r>
    </w:p>
    <w:p w14:paraId="74105F87" w14:textId="77777777" w:rsidR="00D443CA" w:rsidRPr="00765AB5" w:rsidRDefault="00D443CA" w:rsidP="00D443CA">
      <w:pPr>
        <w:rPr>
          <w:lang w:val="en-US"/>
        </w:rPr>
      </w:pPr>
    </w:p>
    <w:p w14:paraId="332DA106" w14:textId="77777777" w:rsidR="00D443CA" w:rsidRPr="00765AB5" w:rsidRDefault="00D443CA" w:rsidP="00D443CA">
      <w:pPr>
        <w:rPr>
          <w:lang w:val="en-US"/>
        </w:rPr>
      </w:pPr>
      <w:r w:rsidRPr="00765AB5">
        <w:rPr>
          <w:lang w:val="en-US"/>
        </w:rPr>
        <w:t>WIRTGEN GmbH</w:t>
      </w:r>
    </w:p>
    <w:p w14:paraId="78873B11" w14:textId="77777777" w:rsidR="00D443CA" w:rsidRPr="00765AB5" w:rsidRDefault="00D443CA" w:rsidP="00D443CA">
      <w:pPr>
        <w:rPr>
          <w:lang w:val="en-US"/>
        </w:rPr>
      </w:pPr>
      <w:r w:rsidRPr="00765AB5">
        <w:rPr>
          <w:lang w:val="en-US"/>
        </w:rPr>
        <w:t>Corporate Communications</w:t>
      </w:r>
    </w:p>
    <w:p w14:paraId="76F1FDD9" w14:textId="77777777" w:rsidR="00D443CA" w:rsidRPr="00765AB5" w:rsidRDefault="00D443CA" w:rsidP="00D443CA">
      <w:pPr>
        <w:rPr>
          <w:lang w:val="en-US"/>
        </w:rPr>
      </w:pPr>
      <w:r w:rsidRPr="00765AB5">
        <w:rPr>
          <w:lang w:val="en-US"/>
        </w:rPr>
        <w:t xml:space="preserve">Michaela Adams, Mario </w:t>
      </w:r>
      <w:proofErr w:type="spellStart"/>
      <w:r w:rsidRPr="00765AB5">
        <w:rPr>
          <w:lang w:val="en-US"/>
        </w:rPr>
        <w:t>Linnemann</w:t>
      </w:r>
      <w:proofErr w:type="spellEnd"/>
    </w:p>
    <w:p w14:paraId="3CA465A5" w14:textId="77777777" w:rsidR="00D443CA" w:rsidRPr="00765AB5" w:rsidRDefault="00D443CA" w:rsidP="00D443CA">
      <w:proofErr w:type="spellStart"/>
      <w:proofErr w:type="gramStart"/>
      <w:r w:rsidRPr="00765AB5">
        <w:t>Reinhard</w:t>
      </w:r>
      <w:proofErr w:type="spellEnd"/>
      <w:r w:rsidRPr="00765AB5">
        <w:t>-Wirtgen-</w:t>
      </w:r>
      <w:proofErr w:type="spellStart"/>
      <w:r w:rsidRPr="00765AB5">
        <w:t>Strasse</w:t>
      </w:r>
      <w:proofErr w:type="spellEnd"/>
      <w:proofErr w:type="gramEnd"/>
      <w:r w:rsidRPr="00765AB5">
        <w:t xml:space="preserve"> 2</w:t>
      </w:r>
    </w:p>
    <w:p w14:paraId="09DC2F81" w14:textId="77777777" w:rsidR="00D443CA" w:rsidRPr="00765AB5" w:rsidRDefault="00D443CA" w:rsidP="00D443CA">
      <w:r w:rsidRPr="00765AB5">
        <w:t xml:space="preserve">53578 </w:t>
      </w:r>
      <w:proofErr w:type="spellStart"/>
      <w:r w:rsidRPr="00765AB5">
        <w:t>Windhagen</w:t>
      </w:r>
      <w:proofErr w:type="spellEnd"/>
    </w:p>
    <w:p w14:paraId="5F17230E" w14:textId="77777777" w:rsidR="00D443CA" w:rsidRPr="00765AB5" w:rsidRDefault="00D443CA" w:rsidP="00D443CA">
      <w:r w:rsidRPr="00765AB5">
        <w:t>Germania</w:t>
      </w:r>
    </w:p>
    <w:p w14:paraId="15A8BCF6" w14:textId="77777777" w:rsidR="00D443CA" w:rsidRPr="00765AB5" w:rsidRDefault="00D443CA" w:rsidP="00D443CA"/>
    <w:p w14:paraId="0565D9ED" w14:textId="77777777" w:rsidR="00D443CA" w:rsidRPr="00765AB5" w:rsidRDefault="00D443CA" w:rsidP="00D443CA">
      <w:r w:rsidRPr="00765AB5">
        <w:t>Telefono: +49 (0) 2645 131 – 0</w:t>
      </w:r>
    </w:p>
    <w:p w14:paraId="2F660130" w14:textId="77777777" w:rsidR="00D443CA" w:rsidRPr="00765AB5" w:rsidRDefault="00D443CA" w:rsidP="00D443CA">
      <w:r w:rsidRPr="00765AB5">
        <w:t>Telefax: +49 (0) 2645 131 – 499</w:t>
      </w:r>
    </w:p>
    <w:p w14:paraId="774848BB" w14:textId="77777777" w:rsidR="00D443CA" w:rsidRPr="00765AB5" w:rsidRDefault="00D443CA" w:rsidP="00D443CA">
      <w:proofErr w:type="gramStart"/>
      <w:r w:rsidRPr="00765AB5">
        <w:t>e-mail</w:t>
      </w:r>
      <w:proofErr w:type="gramEnd"/>
      <w:r w:rsidRPr="00765AB5">
        <w:t xml:space="preserve">: </w:t>
      </w:r>
      <w:proofErr w:type="spellStart"/>
      <w:r w:rsidRPr="00765AB5">
        <w:t>presse@wirtgen.com</w:t>
      </w:r>
      <w:proofErr w:type="spellEnd"/>
    </w:p>
    <w:p w14:paraId="65739852" w14:textId="2B1B13EA" w:rsidR="00B95424" w:rsidRPr="00B95424" w:rsidRDefault="00D443CA" w:rsidP="00D443CA">
      <w:pPr>
        <w:rPr>
          <w:lang w:val="de-DE"/>
        </w:rPr>
      </w:pPr>
      <w:proofErr w:type="spellStart"/>
      <w:proofErr w:type="gramStart"/>
      <w:r w:rsidRPr="00765AB5">
        <w:t>www.wirtgen.com</w:t>
      </w:r>
      <w:proofErr w:type="spellEnd"/>
      <w:proofErr w:type="gramEnd"/>
    </w:p>
    <w:p w14:paraId="1EA778ED" w14:textId="77777777" w:rsidR="00B95424" w:rsidRPr="00B95424" w:rsidRDefault="00B95424" w:rsidP="00B95424">
      <w:pPr>
        <w:rPr>
          <w:lang w:val="de-DE"/>
        </w:rPr>
      </w:pPr>
      <w:r w:rsidRPr="00B95424">
        <w:rPr>
          <w:lang w:val="de-DE"/>
        </w:rPr>
        <w:br w:type="column"/>
      </w:r>
    </w:p>
    <w:p w14:paraId="5C858A40" w14:textId="19D6EE99" w:rsidR="00D86B0B" w:rsidRPr="00B95424" w:rsidRDefault="00D86B0B" w:rsidP="000D0AE3">
      <w:pPr>
        <w:rPr>
          <w:lang w:val="de-DE"/>
        </w:rPr>
      </w:pPr>
    </w:p>
    <w:sectPr w:rsidR="00D86B0B" w:rsidRPr="00B95424" w:rsidSect="008B5019">
      <w:type w:val="continuous"/>
      <w:pgSz w:w="11906" w:h="16838"/>
      <w:pgMar w:top="3005" w:right="851" w:bottom="1134" w:left="1701" w:header="709" w:footer="437" w:gutter="0"/>
      <w:cols w:num="2" w:space="34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4497A01" w14:textId="77777777" w:rsidR="00F92CDC" w:rsidRDefault="00F92CDC" w:rsidP="00BF54E8">
      <w:r>
        <w:separator/>
      </w:r>
    </w:p>
    <w:p w14:paraId="71DA63CF" w14:textId="77777777" w:rsidR="00F92CDC" w:rsidRDefault="00F92CDC" w:rsidP="00BF54E8"/>
  </w:endnote>
  <w:endnote w:type="continuationSeparator" w:id="0">
    <w:p w14:paraId="7C5EB014" w14:textId="77777777" w:rsidR="00F92CDC" w:rsidRDefault="00F92CDC" w:rsidP="00BF54E8">
      <w:r>
        <w:continuationSeparator/>
      </w:r>
    </w:p>
    <w:p w14:paraId="5795F623" w14:textId="77777777" w:rsidR="00F92CDC" w:rsidRDefault="00F92CDC" w:rsidP="00BF54E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21DA3B7" w14:textId="77777777" w:rsidR="00C52BD4" w:rsidRPr="006F0BB2" w:rsidRDefault="00C52BD4" w:rsidP="005F1786">
    <w:pPr>
      <w:pStyle w:val="Fuzeile"/>
    </w:pPr>
    <w:r>
      <w:fldChar w:fldCharType="begin"/>
    </w:r>
    <w:r>
      <w:instrText xml:space="preserve"> PAGE   \* MERGEFORMAT </w:instrText>
    </w:r>
    <w:r>
      <w:fldChar w:fldCharType="separate"/>
    </w:r>
    <w:r w:rsidR="00D443CA">
      <w:rPr>
        <w:noProof/>
      </w:rPr>
      <w:t>1</w:t>
    </w:r>
    <w:r>
      <w:fldChar w:fldCharType="end"/>
    </w:r>
    <w:r>
      <w:rPr>
        <w:noProof/>
        <w:sz w:val="16"/>
        <w:szCs w:val="16"/>
        <w:lang w:val="de-DE" w:eastAsia="de-DE" w:bidi="ar-SA"/>
      </w:rPr>
      <w:drawing>
        <wp:anchor distT="0" distB="0" distL="114300" distR="114300" simplePos="0" relativeHeight="251679742" behindDoc="0" locked="1" layoutInCell="1" allowOverlap="1" wp14:anchorId="3C150C6E" wp14:editId="0E8ABEEA">
          <wp:simplePos x="0" y="0"/>
          <wp:positionH relativeFrom="page">
            <wp:posOffset>396875</wp:posOffset>
          </wp:positionH>
          <wp:positionV relativeFrom="page">
            <wp:posOffset>10146030</wp:posOffset>
          </wp:positionV>
          <wp:extent cx="6764020" cy="118745"/>
          <wp:effectExtent l="0" t="0" r="0" b="0"/>
          <wp:wrapNone/>
          <wp:docPr id="5" name="Bild 5" descr="Daten Server II:WIRTGEN:Massnahmen 2016:Presseinformation_Vorlage:Presseinformation_WIRTGEN_unten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Daten Server II:WIRTGEN:Massnahmen 2016:Presseinformation_Vorlage:Presseinformation_WIRTGEN_unten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43474" b="39512"/>
                  <a:stretch/>
                </pic:blipFill>
                <pic:spPr bwMode="auto">
                  <a:xfrm>
                    <a:off x="0" y="0"/>
                    <a:ext cx="6764020" cy="11874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F7967D7" w14:textId="77777777" w:rsidR="00F92CDC" w:rsidRDefault="00F92CDC" w:rsidP="00BF54E8">
      <w:r>
        <w:separator/>
      </w:r>
    </w:p>
    <w:p w14:paraId="5F9161BE" w14:textId="77777777" w:rsidR="00F92CDC" w:rsidRDefault="00F92CDC" w:rsidP="00BF54E8"/>
  </w:footnote>
  <w:footnote w:type="continuationSeparator" w:id="0">
    <w:p w14:paraId="5D042A92" w14:textId="77777777" w:rsidR="00F92CDC" w:rsidRDefault="00F92CDC" w:rsidP="00BF54E8">
      <w:r>
        <w:continuationSeparator/>
      </w:r>
    </w:p>
    <w:p w14:paraId="03E202BA" w14:textId="77777777" w:rsidR="00F92CDC" w:rsidRDefault="00F92CDC" w:rsidP="00BF54E8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6D2E0AF" w14:textId="77777777" w:rsidR="00C52BD4" w:rsidRDefault="00C52BD4" w:rsidP="00BF54E8">
    <w:pPr>
      <w:pStyle w:val="Kopfzeile"/>
    </w:pPr>
    <w:r>
      <w:rPr>
        <w:noProof/>
        <w:lang w:val="de-DE" w:eastAsia="de-DE" w:bidi="ar-SA"/>
      </w:rPr>
      <w:drawing>
        <wp:anchor distT="0" distB="0" distL="114300" distR="114300" simplePos="0" relativeHeight="251680767" behindDoc="0" locked="1" layoutInCell="1" allowOverlap="1" wp14:anchorId="6DA99B98" wp14:editId="1EC30EA2">
          <wp:simplePos x="0" y="0"/>
          <wp:positionH relativeFrom="page">
            <wp:posOffset>461010</wp:posOffset>
          </wp:positionH>
          <wp:positionV relativeFrom="page">
            <wp:posOffset>353060</wp:posOffset>
          </wp:positionV>
          <wp:extent cx="6656070" cy="1324610"/>
          <wp:effectExtent l="0" t="0" r="0" b="8890"/>
          <wp:wrapNone/>
          <wp:docPr id="4" name="Bild 4" descr="Daten Server II:WIRTGEN:Massnahmen 2016:Presseinformation_Vorlage:Presseinformation_WIRTGEN_oben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Picture 1" descr="Daten Server II:WIRTGEN:Massnahmen 2016:Presseinformation_Vorlage:Presseinformation_WIRTGEN_oben.png"/>
                  <pic:cNvPicPr>
                    <a:picLocks noChangeAspect="1" noChangeArrowheads="1"/>
                  </pic:cNvPicPr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56070" cy="13246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021372F"/>
    <w:multiLevelType w:val="hybridMultilevel"/>
    <w:tmpl w:val="95BA8926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C587A"/>
    <w:rsid w:val="00004163"/>
    <w:rsid w:val="00004E3C"/>
    <w:rsid w:val="00015DC7"/>
    <w:rsid w:val="00055107"/>
    <w:rsid w:val="00056231"/>
    <w:rsid w:val="000571BB"/>
    <w:rsid w:val="00066A8A"/>
    <w:rsid w:val="0007588A"/>
    <w:rsid w:val="00092701"/>
    <w:rsid w:val="000C4DD7"/>
    <w:rsid w:val="000D0AE3"/>
    <w:rsid w:val="000D1E00"/>
    <w:rsid w:val="000D3CF5"/>
    <w:rsid w:val="000D5B68"/>
    <w:rsid w:val="000F3C01"/>
    <w:rsid w:val="00103A95"/>
    <w:rsid w:val="00105039"/>
    <w:rsid w:val="001128A3"/>
    <w:rsid w:val="001168F7"/>
    <w:rsid w:val="0012611A"/>
    <w:rsid w:val="00127DE7"/>
    <w:rsid w:val="00132A29"/>
    <w:rsid w:val="00150ACB"/>
    <w:rsid w:val="00157DE3"/>
    <w:rsid w:val="001D090A"/>
    <w:rsid w:val="001E45E6"/>
    <w:rsid w:val="001E566E"/>
    <w:rsid w:val="001F0073"/>
    <w:rsid w:val="00203F3C"/>
    <w:rsid w:val="002044E1"/>
    <w:rsid w:val="002156BF"/>
    <w:rsid w:val="00215ED4"/>
    <w:rsid w:val="002508A2"/>
    <w:rsid w:val="00254DA4"/>
    <w:rsid w:val="002661A1"/>
    <w:rsid w:val="0026735B"/>
    <w:rsid w:val="002737B0"/>
    <w:rsid w:val="0028321D"/>
    <w:rsid w:val="002844A7"/>
    <w:rsid w:val="002F0CAF"/>
    <w:rsid w:val="003210E6"/>
    <w:rsid w:val="00325F60"/>
    <w:rsid w:val="003374DE"/>
    <w:rsid w:val="003461FD"/>
    <w:rsid w:val="00356DE5"/>
    <w:rsid w:val="00383C17"/>
    <w:rsid w:val="003A39ED"/>
    <w:rsid w:val="003B2BE6"/>
    <w:rsid w:val="003C4D11"/>
    <w:rsid w:val="003D060C"/>
    <w:rsid w:val="003D19A5"/>
    <w:rsid w:val="003E65BE"/>
    <w:rsid w:val="003F19BB"/>
    <w:rsid w:val="00400371"/>
    <w:rsid w:val="00406CA0"/>
    <w:rsid w:val="00411100"/>
    <w:rsid w:val="00417CC7"/>
    <w:rsid w:val="004409FD"/>
    <w:rsid w:val="00453C01"/>
    <w:rsid w:val="00470BBF"/>
    <w:rsid w:val="00487AEE"/>
    <w:rsid w:val="00491C3C"/>
    <w:rsid w:val="004A1713"/>
    <w:rsid w:val="004B6BFD"/>
    <w:rsid w:val="004C04EC"/>
    <w:rsid w:val="00501D9E"/>
    <w:rsid w:val="00505387"/>
    <w:rsid w:val="00525BFA"/>
    <w:rsid w:val="00536FAA"/>
    <w:rsid w:val="00543601"/>
    <w:rsid w:val="00567994"/>
    <w:rsid w:val="005B6CCC"/>
    <w:rsid w:val="005C5964"/>
    <w:rsid w:val="005F1786"/>
    <w:rsid w:val="005F19BC"/>
    <w:rsid w:val="0061338C"/>
    <w:rsid w:val="00620D33"/>
    <w:rsid w:val="006245E4"/>
    <w:rsid w:val="00631D5E"/>
    <w:rsid w:val="00640D1E"/>
    <w:rsid w:val="00655A47"/>
    <w:rsid w:val="00664D60"/>
    <w:rsid w:val="006926F6"/>
    <w:rsid w:val="006A16F3"/>
    <w:rsid w:val="006B3D7D"/>
    <w:rsid w:val="006C20E9"/>
    <w:rsid w:val="006F0BB2"/>
    <w:rsid w:val="006F2EC4"/>
    <w:rsid w:val="006F6422"/>
    <w:rsid w:val="00715AF9"/>
    <w:rsid w:val="0071632A"/>
    <w:rsid w:val="00736C0F"/>
    <w:rsid w:val="00737501"/>
    <w:rsid w:val="007429AD"/>
    <w:rsid w:val="00744E8C"/>
    <w:rsid w:val="00752DE7"/>
    <w:rsid w:val="00756C0B"/>
    <w:rsid w:val="007B1429"/>
    <w:rsid w:val="007B7AD8"/>
    <w:rsid w:val="007E0656"/>
    <w:rsid w:val="007E60B6"/>
    <w:rsid w:val="0081201E"/>
    <w:rsid w:val="00837007"/>
    <w:rsid w:val="00840F1D"/>
    <w:rsid w:val="008500F0"/>
    <w:rsid w:val="0085248A"/>
    <w:rsid w:val="0086523A"/>
    <w:rsid w:val="00867532"/>
    <w:rsid w:val="008731DB"/>
    <w:rsid w:val="00897B39"/>
    <w:rsid w:val="008A31D3"/>
    <w:rsid w:val="008B1CC0"/>
    <w:rsid w:val="008B5019"/>
    <w:rsid w:val="008E6E18"/>
    <w:rsid w:val="00903EF6"/>
    <w:rsid w:val="00953FF6"/>
    <w:rsid w:val="009825CE"/>
    <w:rsid w:val="009E33BD"/>
    <w:rsid w:val="009E6E08"/>
    <w:rsid w:val="00A05851"/>
    <w:rsid w:val="00A5131B"/>
    <w:rsid w:val="00A5625A"/>
    <w:rsid w:val="00A60D31"/>
    <w:rsid w:val="00A726FC"/>
    <w:rsid w:val="00A844C7"/>
    <w:rsid w:val="00AA057E"/>
    <w:rsid w:val="00AA1825"/>
    <w:rsid w:val="00AA54C3"/>
    <w:rsid w:val="00AB0D8B"/>
    <w:rsid w:val="00AB6863"/>
    <w:rsid w:val="00AD0793"/>
    <w:rsid w:val="00AD1342"/>
    <w:rsid w:val="00B0640F"/>
    <w:rsid w:val="00B46AFC"/>
    <w:rsid w:val="00B57EB8"/>
    <w:rsid w:val="00B6168A"/>
    <w:rsid w:val="00B95424"/>
    <w:rsid w:val="00BB0A78"/>
    <w:rsid w:val="00BB0CAE"/>
    <w:rsid w:val="00BC587A"/>
    <w:rsid w:val="00BE470C"/>
    <w:rsid w:val="00BF54E8"/>
    <w:rsid w:val="00C13DB7"/>
    <w:rsid w:val="00C46710"/>
    <w:rsid w:val="00C52BD4"/>
    <w:rsid w:val="00C630FA"/>
    <w:rsid w:val="00C838D2"/>
    <w:rsid w:val="00C93D55"/>
    <w:rsid w:val="00C97CC2"/>
    <w:rsid w:val="00CB5B39"/>
    <w:rsid w:val="00CC1C10"/>
    <w:rsid w:val="00CF76E9"/>
    <w:rsid w:val="00D31B38"/>
    <w:rsid w:val="00D33509"/>
    <w:rsid w:val="00D36C88"/>
    <w:rsid w:val="00D443CA"/>
    <w:rsid w:val="00D44C3A"/>
    <w:rsid w:val="00D61EA4"/>
    <w:rsid w:val="00D86B0B"/>
    <w:rsid w:val="00DB3A24"/>
    <w:rsid w:val="00DC0211"/>
    <w:rsid w:val="00DF34CD"/>
    <w:rsid w:val="00E2149A"/>
    <w:rsid w:val="00E23BDC"/>
    <w:rsid w:val="00E445A1"/>
    <w:rsid w:val="00E91E56"/>
    <w:rsid w:val="00EA2381"/>
    <w:rsid w:val="00EA6A26"/>
    <w:rsid w:val="00ED1EA1"/>
    <w:rsid w:val="00EE74D5"/>
    <w:rsid w:val="00F22393"/>
    <w:rsid w:val="00F43B85"/>
    <w:rsid w:val="00F67E04"/>
    <w:rsid w:val="00F729D0"/>
    <w:rsid w:val="00F81D17"/>
    <w:rsid w:val="00F92CDC"/>
    <w:rsid w:val="00FA6008"/>
    <w:rsid w:val="00FC5A13"/>
    <w:rsid w:val="00FD54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1"/>
    </o:shapelayout>
  </w:shapeDefaults>
  <w:decimalSymbol w:val=","/>
  <w:listSeparator w:val=";"/>
  <w14:docId w14:val="3113E2B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it-IT" w:bidi="it-IT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BF54E8"/>
    <w:pPr>
      <w:spacing w:after="0"/>
      <w:contextualSpacing/>
    </w:pPr>
    <w:rPr>
      <w:rFonts w:ascii="Verdana" w:hAnsi="Verdan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8A31D3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A31D3"/>
  </w:style>
  <w:style w:type="paragraph" w:styleId="Fuzeile">
    <w:name w:val="footer"/>
    <w:basedOn w:val="Standard"/>
    <w:link w:val="FuzeileZchn"/>
    <w:uiPriority w:val="99"/>
    <w:unhideWhenUsed/>
    <w:rsid w:val="00A60D31"/>
    <w:pPr>
      <w:tabs>
        <w:tab w:val="center" w:pos="4536"/>
        <w:tab w:val="right" w:pos="9072"/>
      </w:tabs>
      <w:spacing w:line="240" w:lineRule="auto"/>
      <w:jc w:val="right"/>
    </w:pPr>
  </w:style>
  <w:style w:type="character" w:customStyle="1" w:styleId="FuzeileZchn">
    <w:name w:val="Fußzeile Zchn"/>
    <w:basedOn w:val="Absatz-Standardschriftart"/>
    <w:link w:val="Fuzeile"/>
    <w:uiPriority w:val="99"/>
    <w:rsid w:val="00A60D31"/>
    <w:rPr>
      <w:rFonts w:ascii="Verdana" w:hAnsi="Verdana"/>
    </w:rPr>
  </w:style>
  <w:style w:type="table" w:styleId="Tabellenraster">
    <w:name w:val="Table Grid"/>
    <w:basedOn w:val="NormaleTabelle"/>
    <w:uiPriority w:val="59"/>
    <w:rsid w:val="008A31D3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uiPriority w:val="99"/>
    <w:semiHidden/>
    <w:unhideWhenUsed/>
    <w:rsid w:val="008A31D3"/>
  </w:style>
  <w:style w:type="paragraph" w:styleId="Listenabsatz">
    <w:name w:val="List Paragraph"/>
    <w:basedOn w:val="Standard"/>
    <w:uiPriority w:val="34"/>
    <w:qFormat/>
    <w:rsid w:val="008A31D3"/>
    <w:pPr>
      <w:spacing w:line="240" w:lineRule="auto"/>
      <w:ind w:left="720"/>
    </w:pPr>
    <w:rPr>
      <w:rFonts w:ascii="Times New Roman" w:eastAsiaTheme="minorEastAsia" w:hAnsi="Times New Roman" w:cs="Times New Roman"/>
      <w:sz w:val="24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66A8A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66A8A"/>
    <w:rPr>
      <w:rFonts w:ascii="Lucida Grande" w:hAnsi="Lucida Grande" w:cs="Lucida Grande"/>
      <w:sz w:val="18"/>
      <w:szCs w:val="18"/>
    </w:rPr>
  </w:style>
  <w:style w:type="paragraph" w:styleId="Funotentext">
    <w:name w:val="footnote text"/>
    <w:basedOn w:val="Standard"/>
    <w:link w:val="FunotentextZchn"/>
    <w:uiPriority w:val="99"/>
    <w:unhideWhenUsed/>
    <w:rsid w:val="0007588A"/>
    <w:pPr>
      <w:spacing w:line="240" w:lineRule="auto"/>
    </w:pPr>
    <w:rPr>
      <w:sz w:val="24"/>
      <w:szCs w:val="24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07588A"/>
    <w:rPr>
      <w:sz w:val="24"/>
      <w:szCs w:val="24"/>
    </w:rPr>
  </w:style>
  <w:style w:type="character" w:styleId="Funotenzeichen">
    <w:name w:val="footnote reference"/>
    <w:basedOn w:val="Absatz-Standardschriftart"/>
    <w:uiPriority w:val="99"/>
    <w:unhideWhenUsed/>
    <w:rsid w:val="0007588A"/>
    <w:rPr>
      <w:vertAlign w:val="superscript"/>
    </w:rPr>
  </w:style>
  <w:style w:type="character" w:styleId="Hyperlink">
    <w:name w:val="Hyperlink"/>
    <w:basedOn w:val="Absatz-Standardschriftart"/>
    <w:uiPriority w:val="99"/>
    <w:unhideWhenUsed/>
    <w:rsid w:val="00D86B0B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D86B0B"/>
    <w:rPr>
      <w:color w:val="800080" w:themeColor="followedHyperlink"/>
      <w:u w:val="single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B46AF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B46AFC"/>
    <w:rPr>
      <w:rFonts w:ascii="Tahoma" w:hAnsi="Tahoma" w:cs="Tahoma"/>
      <w:sz w:val="16"/>
      <w:szCs w:val="16"/>
    </w:rPr>
  </w:style>
  <w:style w:type="paragraph" w:customStyle="1" w:styleId="Subtitel1">
    <w:name w:val="Subtitel1"/>
    <w:basedOn w:val="Standard"/>
    <w:qFormat/>
    <w:rsid w:val="00BF54E8"/>
    <w:rPr>
      <w:b/>
    </w:rPr>
  </w:style>
  <w:style w:type="paragraph" w:customStyle="1" w:styleId="Titel1">
    <w:name w:val="Titel1"/>
    <w:basedOn w:val="Standard"/>
    <w:qFormat/>
    <w:rsid w:val="00BF54E8"/>
    <w:rPr>
      <w:b/>
      <w:sz w:val="40"/>
    </w:rPr>
  </w:style>
  <w:style w:type="paragraph" w:customStyle="1" w:styleId="Subtitel-Unterstrichen1">
    <w:name w:val="Subtitel-Unterstrichen1"/>
    <w:basedOn w:val="Subtitel1"/>
    <w:qFormat/>
    <w:rsid w:val="00BF54E8"/>
    <w:pPr>
      <w:pBdr>
        <w:bottom w:val="single" w:sz="12" w:space="1" w:color="auto"/>
      </w:pBdr>
    </w:pPr>
  </w:style>
  <w:style w:type="paragraph" w:customStyle="1" w:styleId="Subtitel-Unterstrichen2">
    <w:name w:val="Subtitel-Unterstrichen2"/>
    <w:basedOn w:val="Subtitel1"/>
    <w:qFormat/>
    <w:rsid w:val="00BF54E8"/>
    <w:pPr>
      <w:pBdr>
        <w:bottom w:val="single" w:sz="6" w:space="1" w:color="auto"/>
      </w:pBdr>
    </w:pPr>
  </w:style>
  <w:style w:type="table" w:customStyle="1" w:styleId="Fotos">
    <w:name w:val="Fotos"/>
    <w:basedOn w:val="NormaleTabelle"/>
    <w:uiPriority w:val="99"/>
    <w:rsid w:val="009E6E08"/>
    <w:pPr>
      <w:spacing w:after="0" w:line="240" w:lineRule="auto"/>
    </w:pPr>
    <w:rPr>
      <w:rFonts w:ascii="Verdana" w:hAnsi="Verdana"/>
      <w:sz w:val="20"/>
    </w:rPr>
    <w:tblPr>
      <w:tblStyleRowBandSize w:val="1"/>
      <w:tblBorders>
        <w:insideV w:val="single" w:sz="2" w:space="0" w:color="auto"/>
      </w:tblBorders>
      <w:tblCellMar>
        <w:top w:w="170" w:type="dxa"/>
        <w:left w:w="170" w:type="dxa"/>
        <w:bottom w:w="170" w:type="dxa"/>
        <w:right w:w="170" w:type="dxa"/>
      </w:tblCellMar>
    </w:tblPr>
    <w:tcPr>
      <w:vAlign w:val="center"/>
    </w:tcPr>
    <w:tblStylePr w:type="band2Horz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it-IT" w:bidi="it-IT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BF54E8"/>
    <w:pPr>
      <w:spacing w:after="0"/>
      <w:contextualSpacing/>
    </w:pPr>
    <w:rPr>
      <w:rFonts w:ascii="Verdana" w:hAnsi="Verdan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8A31D3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A31D3"/>
  </w:style>
  <w:style w:type="paragraph" w:styleId="Fuzeile">
    <w:name w:val="footer"/>
    <w:basedOn w:val="Standard"/>
    <w:link w:val="FuzeileZchn"/>
    <w:uiPriority w:val="99"/>
    <w:unhideWhenUsed/>
    <w:rsid w:val="00A60D31"/>
    <w:pPr>
      <w:tabs>
        <w:tab w:val="center" w:pos="4536"/>
        <w:tab w:val="right" w:pos="9072"/>
      </w:tabs>
      <w:spacing w:line="240" w:lineRule="auto"/>
      <w:jc w:val="right"/>
    </w:pPr>
  </w:style>
  <w:style w:type="character" w:customStyle="1" w:styleId="FuzeileZchn">
    <w:name w:val="Fußzeile Zchn"/>
    <w:basedOn w:val="Absatz-Standardschriftart"/>
    <w:link w:val="Fuzeile"/>
    <w:uiPriority w:val="99"/>
    <w:rsid w:val="00A60D31"/>
    <w:rPr>
      <w:rFonts w:ascii="Verdana" w:hAnsi="Verdana"/>
    </w:rPr>
  </w:style>
  <w:style w:type="table" w:styleId="Tabellenraster">
    <w:name w:val="Table Grid"/>
    <w:basedOn w:val="NormaleTabelle"/>
    <w:uiPriority w:val="59"/>
    <w:rsid w:val="008A31D3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uiPriority w:val="99"/>
    <w:semiHidden/>
    <w:unhideWhenUsed/>
    <w:rsid w:val="008A31D3"/>
  </w:style>
  <w:style w:type="paragraph" w:styleId="Listenabsatz">
    <w:name w:val="List Paragraph"/>
    <w:basedOn w:val="Standard"/>
    <w:uiPriority w:val="34"/>
    <w:qFormat/>
    <w:rsid w:val="008A31D3"/>
    <w:pPr>
      <w:spacing w:line="240" w:lineRule="auto"/>
      <w:ind w:left="720"/>
    </w:pPr>
    <w:rPr>
      <w:rFonts w:ascii="Times New Roman" w:eastAsiaTheme="minorEastAsia" w:hAnsi="Times New Roman" w:cs="Times New Roman"/>
      <w:sz w:val="24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66A8A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66A8A"/>
    <w:rPr>
      <w:rFonts w:ascii="Lucida Grande" w:hAnsi="Lucida Grande" w:cs="Lucida Grande"/>
      <w:sz w:val="18"/>
      <w:szCs w:val="18"/>
    </w:rPr>
  </w:style>
  <w:style w:type="paragraph" w:styleId="Funotentext">
    <w:name w:val="footnote text"/>
    <w:basedOn w:val="Standard"/>
    <w:link w:val="FunotentextZchn"/>
    <w:uiPriority w:val="99"/>
    <w:unhideWhenUsed/>
    <w:rsid w:val="0007588A"/>
    <w:pPr>
      <w:spacing w:line="240" w:lineRule="auto"/>
    </w:pPr>
    <w:rPr>
      <w:sz w:val="24"/>
      <w:szCs w:val="24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07588A"/>
    <w:rPr>
      <w:sz w:val="24"/>
      <w:szCs w:val="24"/>
    </w:rPr>
  </w:style>
  <w:style w:type="character" w:styleId="Funotenzeichen">
    <w:name w:val="footnote reference"/>
    <w:basedOn w:val="Absatz-Standardschriftart"/>
    <w:uiPriority w:val="99"/>
    <w:unhideWhenUsed/>
    <w:rsid w:val="0007588A"/>
    <w:rPr>
      <w:vertAlign w:val="superscript"/>
    </w:rPr>
  </w:style>
  <w:style w:type="character" w:styleId="Hyperlink">
    <w:name w:val="Hyperlink"/>
    <w:basedOn w:val="Absatz-Standardschriftart"/>
    <w:uiPriority w:val="99"/>
    <w:unhideWhenUsed/>
    <w:rsid w:val="00D86B0B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D86B0B"/>
    <w:rPr>
      <w:color w:val="800080" w:themeColor="followedHyperlink"/>
      <w:u w:val="single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B46AF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B46AFC"/>
    <w:rPr>
      <w:rFonts w:ascii="Tahoma" w:hAnsi="Tahoma" w:cs="Tahoma"/>
      <w:sz w:val="16"/>
      <w:szCs w:val="16"/>
    </w:rPr>
  </w:style>
  <w:style w:type="paragraph" w:customStyle="1" w:styleId="Subtitel1">
    <w:name w:val="Subtitel1"/>
    <w:basedOn w:val="Standard"/>
    <w:qFormat/>
    <w:rsid w:val="00BF54E8"/>
    <w:rPr>
      <w:b/>
    </w:rPr>
  </w:style>
  <w:style w:type="paragraph" w:customStyle="1" w:styleId="Titel1">
    <w:name w:val="Titel1"/>
    <w:basedOn w:val="Standard"/>
    <w:qFormat/>
    <w:rsid w:val="00BF54E8"/>
    <w:rPr>
      <w:b/>
      <w:sz w:val="40"/>
    </w:rPr>
  </w:style>
  <w:style w:type="paragraph" w:customStyle="1" w:styleId="Subtitel-Unterstrichen1">
    <w:name w:val="Subtitel-Unterstrichen1"/>
    <w:basedOn w:val="Subtitel1"/>
    <w:qFormat/>
    <w:rsid w:val="00BF54E8"/>
    <w:pPr>
      <w:pBdr>
        <w:bottom w:val="single" w:sz="12" w:space="1" w:color="auto"/>
      </w:pBdr>
    </w:pPr>
  </w:style>
  <w:style w:type="paragraph" w:customStyle="1" w:styleId="Subtitel-Unterstrichen2">
    <w:name w:val="Subtitel-Unterstrichen2"/>
    <w:basedOn w:val="Subtitel1"/>
    <w:qFormat/>
    <w:rsid w:val="00BF54E8"/>
    <w:pPr>
      <w:pBdr>
        <w:bottom w:val="single" w:sz="6" w:space="1" w:color="auto"/>
      </w:pBdr>
    </w:pPr>
  </w:style>
  <w:style w:type="table" w:customStyle="1" w:styleId="Fotos">
    <w:name w:val="Fotos"/>
    <w:basedOn w:val="NormaleTabelle"/>
    <w:uiPriority w:val="99"/>
    <w:rsid w:val="009E6E08"/>
    <w:pPr>
      <w:spacing w:after="0" w:line="240" w:lineRule="auto"/>
    </w:pPr>
    <w:rPr>
      <w:rFonts w:ascii="Verdana" w:hAnsi="Verdana"/>
      <w:sz w:val="20"/>
    </w:rPr>
    <w:tblPr>
      <w:tblStyleRowBandSize w:val="1"/>
      <w:tblBorders>
        <w:insideV w:val="single" w:sz="2" w:space="0" w:color="auto"/>
      </w:tblBorders>
      <w:tblCellMar>
        <w:top w:w="170" w:type="dxa"/>
        <w:left w:w="170" w:type="dxa"/>
        <w:bottom w:w="170" w:type="dxa"/>
        <w:right w:w="170" w:type="dxa"/>
      </w:tblCellMar>
    </w:tblPr>
    <w:tcPr>
      <w:vAlign w:val="center"/>
    </w:tcPr>
    <w:tblStylePr w:type="band2Horz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3F8360B4-6C30-484E-AAEB-A7CF718975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638</Words>
  <Characters>4021</Characters>
  <Application>Microsoft Office Word</Application>
  <DocSecurity>0</DocSecurity>
  <Lines>33</Lines>
  <Paragraphs>9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2" baseType="lpstr">
      <vt:lpstr/>
      <vt:lpstr/>
    </vt:vector>
  </TitlesOfParts>
  <Company>Wirtgen GmbH</Company>
  <LinksUpToDate>false</LinksUpToDate>
  <CharactersWithSpaces>4650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Linnemann Mario</dc:creator>
  <cp:lastModifiedBy>Linnemann Mario</cp:lastModifiedBy>
  <cp:revision>3</cp:revision>
  <cp:lastPrinted>2016-02-16T16:02:00Z</cp:lastPrinted>
  <dcterms:created xsi:type="dcterms:W3CDTF">2016-03-18T15:57:00Z</dcterms:created>
  <dcterms:modified xsi:type="dcterms:W3CDTF">2016-03-18T15:58:00Z</dcterms:modified>
</cp:coreProperties>
</file>