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17DFFAA" w:rsidR="00A27829" w:rsidRPr="001C3D07" w:rsidRDefault="00747B9E" w:rsidP="00A27829">
      <w:pPr>
        <w:pStyle w:val="Head"/>
      </w:pPr>
      <w:r>
        <w:rPr>
          <w:lang w:val="it-IT"/>
        </w:rPr>
        <w:t xml:space="preserve">Wirtgen l Nuova generazione della serie WR con una resa di miscelazione e una qualità maggiori </w:t>
      </w:r>
    </w:p>
    <w:p w14:paraId="7EAB5C7F" w14:textId="35883949" w:rsidR="003F3576" w:rsidRPr="003F3576" w:rsidRDefault="003F3576" w:rsidP="003F3576">
      <w:pPr>
        <w:spacing w:line="280" w:lineRule="atLeast"/>
        <w:jc w:val="both"/>
        <w:rPr>
          <w:b/>
          <w:bCs/>
          <w:sz w:val="22"/>
          <w:szCs w:val="22"/>
        </w:rPr>
      </w:pPr>
      <w:r>
        <w:rPr>
          <w:b/>
          <w:bCs/>
          <w:sz w:val="22"/>
          <w:szCs w:val="22"/>
          <w:lang w:val="it-IT"/>
        </w:rPr>
        <w:t>Wirtgen presenta alla Bauma l’ultima generazione della serie WR, sviluppata per gli ambiti di applicazione del riciclaggio a freddo e della stabilizzazione. Le macchine convincono grazie al comando ottimizzato e alla produttività e alla qualità di miscelazione costantemente elevate. Con una nuova cabina e un sistema di comando migliorato, le macchine della serie WR rendono possibile una modalità di lavoro particolarmente efficiente ed economica.</w:t>
      </w:r>
    </w:p>
    <w:p w14:paraId="1716353A" w14:textId="77777777" w:rsidR="00AF6CBB" w:rsidRPr="003F3576" w:rsidRDefault="00AF6CBB" w:rsidP="00417366">
      <w:pPr>
        <w:spacing w:line="280" w:lineRule="atLeast"/>
        <w:jc w:val="both"/>
        <w:rPr>
          <w:sz w:val="22"/>
          <w:szCs w:val="22"/>
        </w:rPr>
      </w:pPr>
    </w:p>
    <w:p w14:paraId="26B2814F" w14:textId="4AD176C6" w:rsidR="005538F3" w:rsidRPr="003F3576" w:rsidRDefault="005538F3" w:rsidP="005538F3">
      <w:pPr>
        <w:spacing w:line="280" w:lineRule="atLeast"/>
        <w:jc w:val="both"/>
        <w:rPr>
          <w:b/>
          <w:bCs/>
          <w:sz w:val="22"/>
          <w:szCs w:val="22"/>
        </w:rPr>
      </w:pPr>
      <w:r>
        <w:rPr>
          <w:b/>
          <w:bCs/>
          <w:sz w:val="22"/>
          <w:szCs w:val="22"/>
          <w:lang w:val="it-IT"/>
        </w:rPr>
        <w:t>Le macchine altamente performanti lavorano con la massima efficienza</w:t>
      </w:r>
    </w:p>
    <w:p w14:paraId="2917757D" w14:textId="77777777" w:rsidR="005538F3" w:rsidRDefault="005538F3" w:rsidP="005538F3">
      <w:pPr>
        <w:spacing w:line="280" w:lineRule="atLeast"/>
        <w:jc w:val="both"/>
        <w:rPr>
          <w:sz w:val="22"/>
          <w:szCs w:val="22"/>
        </w:rPr>
      </w:pPr>
      <w:r>
        <w:rPr>
          <w:sz w:val="22"/>
          <w:szCs w:val="22"/>
          <w:lang w:val="it-IT"/>
        </w:rPr>
        <w:t>Le macchine della serie WR coprono diversi ambiti di applicazione: dal riciclaggio a freddo alla stabilizzazione di diversi materiali edili, ad esempio nella stabilizzazione dei terreni o nel consolidamento nella costruzione di vie di circolazione.</w:t>
      </w:r>
    </w:p>
    <w:p w14:paraId="04030252" w14:textId="72085FE5" w:rsidR="005538F3" w:rsidRDefault="005538F3" w:rsidP="005538F3">
      <w:pPr>
        <w:spacing w:line="280" w:lineRule="atLeast"/>
        <w:jc w:val="both"/>
        <w:rPr>
          <w:sz w:val="22"/>
          <w:szCs w:val="22"/>
        </w:rPr>
      </w:pPr>
      <w:r>
        <w:rPr>
          <w:sz w:val="22"/>
          <w:szCs w:val="22"/>
          <w:lang w:val="it-IT"/>
        </w:rPr>
        <w:t xml:space="preserve">La serie WR comprende diversi modelli per diverse esigenze. La WR 200 X è molto flessibile durante il trasporto grazie alle dimensioni compatte e al basso peso della macchina. La WR 240 X rappresenta l’equilibrio ottimale tra potenza della macchina e peso per grandi rese giornaliere. La WR 250 X è la macchina più potente della serie WR e offre la massima produttività. </w:t>
      </w:r>
    </w:p>
    <w:p w14:paraId="027CC954" w14:textId="60C67886" w:rsidR="005538F3" w:rsidRDefault="005538F3" w:rsidP="005538F3">
      <w:pPr>
        <w:spacing w:line="280" w:lineRule="atLeast"/>
        <w:jc w:val="both"/>
        <w:rPr>
          <w:sz w:val="22"/>
          <w:szCs w:val="22"/>
        </w:rPr>
      </w:pPr>
      <w:r>
        <w:rPr>
          <w:sz w:val="22"/>
          <w:szCs w:val="22"/>
          <w:lang w:val="it-IT"/>
        </w:rPr>
        <w:t>Tutti i tre modelli offrono una larghezza operativa fino a 2.400 mm. La potenza del motore a seconda del modello si attesta tra 305 kW e 571 kW. Il rotore di fresatura e miscelazione Duraforce ottimizzato rende possibili una qualità di miscelazione costante e un’alta produttività, indipendentemente dalle condizioni di lavoro, e contribuisce a mantenere basso il livello di consumo carburante, di emissioni di CO</w:t>
      </w:r>
      <w:r>
        <w:rPr>
          <w:sz w:val="22"/>
          <w:szCs w:val="22"/>
          <w:vertAlign w:val="subscript"/>
          <w:lang w:val="it-IT"/>
        </w:rPr>
        <w:t xml:space="preserve">2 </w:t>
      </w:r>
      <w:r>
        <w:rPr>
          <w:sz w:val="22"/>
          <w:szCs w:val="22"/>
          <w:lang w:val="it-IT"/>
        </w:rPr>
        <w:t>e di usura.</w:t>
      </w:r>
    </w:p>
    <w:p w14:paraId="2B5A0627" w14:textId="77777777" w:rsidR="005538F3" w:rsidRDefault="005538F3" w:rsidP="003F3576">
      <w:pPr>
        <w:spacing w:line="280" w:lineRule="atLeast"/>
        <w:jc w:val="both"/>
        <w:rPr>
          <w:b/>
          <w:bCs/>
          <w:sz w:val="22"/>
          <w:szCs w:val="22"/>
        </w:rPr>
      </w:pPr>
    </w:p>
    <w:p w14:paraId="60B5F1C2" w14:textId="232B418A" w:rsidR="003F3576" w:rsidRPr="003F3576" w:rsidRDefault="003F3576" w:rsidP="003F3576">
      <w:pPr>
        <w:spacing w:line="280" w:lineRule="atLeast"/>
        <w:jc w:val="both"/>
        <w:rPr>
          <w:b/>
          <w:bCs/>
          <w:sz w:val="22"/>
          <w:szCs w:val="22"/>
        </w:rPr>
      </w:pPr>
      <w:r>
        <w:rPr>
          <w:b/>
          <w:bCs/>
          <w:sz w:val="22"/>
          <w:szCs w:val="22"/>
          <w:lang w:val="it-IT"/>
        </w:rPr>
        <w:t>Comando ergonomico combinato con il WIRTGEN GROUP CoPilot</w:t>
      </w:r>
    </w:p>
    <w:p w14:paraId="785A4CA8" w14:textId="646CE743" w:rsidR="005851AB" w:rsidRDefault="00516DFA" w:rsidP="00516DFA">
      <w:pPr>
        <w:tabs>
          <w:tab w:val="num" w:pos="720"/>
        </w:tabs>
        <w:spacing w:line="280" w:lineRule="atLeast"/>
        <w:jc w:val="both"/>
        <w:rPr>
          <w:sz w:val="22"/>
          <w:szCs w:val="22"/>
        </w:rPr>
      </w:pPr>
      <w:r>
        <w:rPr>
          <w:sz w:val="22"/>
          <w:szCs w:val="22"/>
          <w:lang w:val="it-IT"/>
        </w:rPr>
        <w:t>Un aspetto centrale delle nuove riciclatrici a freddo e stabilizzatrici è costituito dalla configurazione del pannello di comando ripensata. Un nuovo joystick multifunzione, il controllo Finger Tip e la regolazione dell’altezza ergonomica grazie al bracciolo multifunzione garantiscono il massimo comfort. Il grande display della macchina offre schermate collegate all’applicazione del WIRTGEN GROUP CoPilot, oltre a un monitoraggio digitale dei processi. Il sistema di assistenza supporta l’operatore macchina nello sfruttare appieno il potenziale della macchina, fornisce suggerimenti di azione durante il processo di lavoro e offre dei tutorial interattivi.</w:t>
      </w:r>
    </w:p>
    <w:p w14:paraId="20D26541" w14:textId="77777777" w:rsidR="005851AB" w:rsidRDefault="005851AB" w:rsidP="005851AB">
      <w:pPr>
        <w:tabs>
          <w:tab w:val="num" w:pos="720"/>
        </w:tabs>
        <w:spacing w:line="280" w:lineRule="atLeast"/>
        <w:jc w:val="both"/>
        <w:rPr>
          <w:sz w:val="22"/>
          <w:szCs w:val="22"/>
        </w:rPr>
      </w:pPr>
    </w:p>
    <w:p w14:paraId="7CCF7521" w14:textId="51D76378" w:rsidR="005851AB" w:rsidRPr="005851AB" w:rsidRDefault="002E1DB6" w:rsidP="002D495F">
      <w:pPr>
        <w:spacing w:line="280" w:lineRule="atLeast"/>
        <w:rPr>
          <w:b/>
          <w:bCs/>
          <w:sz w:val="22"/>
          <w:szCs w:val="22"/>
        </w:rPr>
      </w:pPr>
      <w:r>
        <w:rPr>
          <w:b/>
          <w:bCs/>
          <w:sz w:val="22"/>
          <w:szCs w:val="22"/>
          <w:lang w:val="it-IT"/>
        </w:rPr>
        <w:t>Il sistema di comando offre consigli di intervento interattivi e addestramenti autonomi</w:t>
      </w:r>
    </w:p>
    <w:p w14:paraId="18AEDF68" w14:textId="056C0338" w:rsidR="006A46EA" w:rsidRDefault="005851AB" w:rsidP="005851AB">
      <w:pPr>
        <w:tabs>
          <w:tab w:val="num" w:pos="720"/>
        </w:tabs>
        <w:spacing w:line="280" w:lineRule="atLeast"/>
        <w:jc w:val="both"/>
        <w:rPr>
          <w:sz w:val="22"/>
          <w:szCs w:val="22"/>
        </w:rPr>
      </w:pPr>
      <w:r>
        <w:rPr>
          <w:sz w:val="22"/>
          <w:szCs w:val="22"/>
          <w:lang w:val="it-IT"/>
        </w:rPr>
        <w:t xml:space="preserve">Un addestramento autonomo per conoscere la macchina e le sue funzioni aiuta l’operatore. In questo contesto, le animazioni vengono mostrate direttamente sul display della macchina, in modo che l’operatore possa sfruttare rapidamente il pieno potenziale della macchina. Sono integrate anche spiegazioni della modalità di guida, delle funzioni del joystick multifunzione e istruzioni per il trasporto e la sicurezza. Per il personale di comando viene visualizzato un consiglio di azione con il relativo effetto, mentre questo interagisce direttamente con la macchina. Il sistema guida l’operatore </w:t>
      </w:r>
      <w:r>
        <w:rPr>
          <w:sz w:val="22"/>
          <w:szCs w:val="22"/>
          <w:lang w:val="it-IT"/>
        </w:rPr>
        <w:lastRenderedPageBreak/>
        <w:t>passo dopo passo attraverso i singoli scenari, riconosce i comandi immessi e lo stato della macchina e passa automaticamente al passo di processo successivo.</w:t>
      </w:r>
    </w:p>
    <w:p w14:paraId="1BC44108" w14:textId="77777777" w:rsidR="005D4A2F" w:rsidRDefault="005D4A2F" w:rsidP="005851AB">
      <w:pPr>
        <w:tabs>
          <w:tab w:val="num" w:pos="720"/>
        </w:tabs>
        <w:spacing w:line="280" w:lineRule="atLeast"/>
        <w:jc w:val="both"/>
        <w:rPr>
          <w:sz w:val="22"/>
          <w:szCs w:val="22"/>
        </w:rPr>
      </w:pPr>
    </w:p>
    <w:p w14:paraId="0E27D49C" w14:textId="7A6FA0A7" w:rsidR="006A46EA" w:rsidRPr="00AF6CBB" w:rsidRDefault="006A46EA" w:rsidP="006A46EA">
      <w:pPr>
        <w:spacing w:line="280" w:lineRule="atLeast"/>
        <w:jc w:val="both"/>
        <w:rPr>
          <w:sz w:val="22"/>
          <w:szCs w:val="22"/>
        </w:rPr>
      </w:pPr>
      <w:r>
        <w:rPr>
          <w:b/>
          <w:bCs/>
          <w:sz w:val="22"/>
          <w:szCs w:val="22"/>
          <w:lang w:val="it-IT"/>
        </w:rPr>
        <w:t>Le soluzioni digitali aumentano l’efficienza</w:t>
      </w:r>
    </w:p>
    <w:p w14:paraId="5110BE69" w14:textId="51A29AA7" w:rsidR="00406B04" w:rsidRDefault="006A46EA" w:rsidP="005B69A7">
      <w:pPr>
        <w:spacing w:line="280" w:lineRule="atLeast"/>
        <w:jc w:val="both"/>
        <w:rPr>
          <w:sz w:val="22"/>
          <w:szCs w:val="22"/>
        </w:rPr>
      </w:pPr>
      <w:r>
        <w:rPr>
          <w:sz w:val="22"/>
          <w:szCs w:val="22"/>
          <w:lang w:val="it-IT"/>
        </w:rPr>
        <w:t>Inoltre, Wirtgen punta sui sistemi di assistenza che aumentano l’efficienza e sul monitoraggio digitale dei processi. L’assistente alla guida AutoTrac</w:t>
      </w:r>
      <w:r>
        <w:rPr>
          <w:sz w:val="22"/>
          <w:szCs w:val="22"/>
          <w:vertAlign w:val="superscript"/>
          <w:lang w:val="it-IT"/>
        </w:rPr>
        <w:t>TM</w:t>
      </w:r>
      <w:r>
        <w:rPr>
          <w:sz w:val="22"/>
          <w:szCs w:val="22"/>
          <w:lang w:val="it-IT"/>
        </w:rPr>
        <w:t xml:space="preserve"> comanda la macchina automaticamente sulla base di una traccia di riferimento preimpostata e di una sovrapposizione definita. Per un rapido cambio di senso di marcia, la funzione Automatic Reverse consente di cambiare la direzione con la pressione di un pulsante. Grazie al sistema di assistenza Mix Assist è possibile configurare diverse funzioni automatiche in modo individuale e richiamarle con la pressione di un pulsante. In questo contesto, l’operatore può raggruppare numerosi passi di lavoro in un automatismo in base alle esigenze. Il sistema, in questo ambito, adegua anche le immagini delle telecamere visualizzate, per concentrare l’attenzione sull’area di lavoro rilevante. Questo semplifica il lavoro dell’operatore e migliora la produttività della macchina.</w:t>
      </w:r>
    </w:p>
    <w:p w14:paraId="0E0757C3" w14:textId="4F0FC158" w:rsidR="00E261EB" w:rsidRPr="00AF6CBB" w:rsidRDefault="005B69A7" w:rsidP="003F3576">
      <w:pPr>
        <w:spacing w:line="280" w:lineRule="atLeast"/>
        <w:jc w:val="both"/>
        <w:rPr>
          <w:sz w:val="22"/>
          <w:szCs w:val="22"/>
        </w:rPr>
      </w:pPr>
      <w:r>
        <w:rPr>
          <w:sz w:val="22"/>
          <w:szCs w:val="22"/>
          <w:lang w:val="it-IT"/>
        </w:rPr>
        <w:t>Il Wirtgen Group Performance Tracker Recycling, in breve WPT Recycling, crea una documentazione del progetto priva di lacune. Tutti i parametri di cantiere rilevanti vengono registrati specificamente per la sede e riassunti in un rapporto dettagliato.</w:t>
      </w:r>
    </w:p>
    <w:p w14:paraId="325D9A5B" w14:textId="0F0860F0" w:rsidR="00AF6CBB" w:rsidRPr="003F3576" w:rsidRDefault="00AF6CBB" w:rsidP="00417366">
      <w:pPr>
        <w:spacing w:line="280" w:lineRule="atLeast"/>
        <w:jc w:val="both"/>
        <w:rPr>
          <w:sz w:val="22"/>
          <w:szCs w:val="22"/>
        </w:rPr>
      </w:pPr>
    </w:p>
    <w:p w14:paraId="50C2745C" w14:textId="2D95394B" w:rsidR="00740F7A" w:rsidRPr="003F3576" w:rsidRDefault="009A7DEB" w:rsidP="00740F7A">
      <w:pPr>
        <w:spacing w:line="280" w:lineRule="atLeast"/>
        <w:jc w:val="both"/>
        <w:rPr>
          <w:b/>
          <w:bCs/>
          <w:sz w:val="22"/>
          <w:szCs w:val="22"/>
        </w:rPr>
      </w:pPr>
      <w:r>
        <w:rPr>
          <w:b/>
          <w:bCs/>
          <w:sz w:val="22"/>
          <w:szCs w:val="22"/>
          <w:lang w:val="it-IT"/>
        </w:rPr>
        <w:t>Il WRC 240 X raggiunge una performance fino a 600 tonnellate all’ora</w:t>
      </w:r>
    </w:p>
    <w:p w14:paraId="4EF6D20D" w14:textId="72587AAD" w:rsidR="00740F7A" w:rsidRPr="00AF6CBB" w:rsidRDefault="00740F7A" w:rsidP="00740F7A">
      <w:pPr>
        <w:spacing w:line="280" w:lineRule="atLeast"/>
        <w:jc w:val="both"/>
        <w:rPr>
          <w:sz w:val="22"/>
          <w:szCs w:val="22"/>
        </w:rPr>
      </w:pPr>
      <w:r>
        <w:rPr>
          <w:sz w:val="22"/>
          <w:szCs w:val="22"/>
          <w:lang w:val="it-IT"/>
        </w:rPr>
        <w:t>Oltre alla nuova serie WR, Wirtgen presenta il Rock Crusher WRC 240 X. Questa macchina frantuma la roccia grossolana, come ad esempio negli strati di riempimento o nei terreni pietrosi, e la miscela omogeneamente in sito nella stessa passata di lavoro. Con una larghezza operativa di 2.320 mm e una profondità di lavoro fino a 510 mm, il WRC 240 X raggiunge una performance fino a 600 tonnellate all’ora.</w:t>
      </w:r>
    </w:p>
    <w:p w14:paraId="7036A12C" w14:textId="049193C3" w:rsidR="004012F2" w:rsidRDefault="004012F2" w:rsidP="004012F2">
      <w:pPr>
        <w:spacing w:line="280" w:lineRule="atLeast"/>
        <w:jc w:val="both"/>
        <w:rPr>
          <w:sz w:val="22"/>
          <w:szCs w:val="22"/>
        </w:rPr>
      </w:pPr>
      <w:r>
        <w:rPr>
          <w:sz w:val="22"/>
          <w:szCs w:val="22"/>
          <w:lang w:val="it-IT"/>
        </w:rPr>
        <w:t>Il robusto rotore di frantumazione e miscelazione, con porta-utensili e utensili di frantumazione HT18 sviluppati appositamente per le applicazioni di frantumazione, consente di ottenere risultati ottimali nei terreni pietrosi. Gli utensili sono equipaggiati con taglienti infrangibili di grandi dimensioni in metallo duro, mentre i colletti di fissaggio sono protetti con una protezione anti-usura in acciaio ad alta resistenza. In questo modo vengono ottenute lunghe durate utili e un’alta sicurezza di processo nelle applicazioni più impegnative. Oltre alla frantumazione di roccia con una lunghezza del lato fino a 300 mm e una resistenza alla compressione fino a 200 MPa, nella stessa passata di lavoro possono essere anche incorporati il legante e l’acqua, ad esempio per trattare gli strati portanti.</w:t>
      </w:r>
    </w:p>
    <w:p w14:paraId="748D2F52" w14:textId="675D41B7" w:rsidR="00293570" w:rsidRDefault="00293570" w:rsidP="004012F2">
      <w:pPr>
        <w:spacing w:line="280" w:lineRule="atLeast"/>
        <w:jc w:val="both"/>
        <w:rPr>
          <w:sz w:val="22"/>
          <w:szCs w:val="22"/>
        </w:rPr>
      </w:pPr>
    </w:p>
    <w:p w14:paraId="4382FD3B" w14:textId="5C8B123E" w:rsidR="00293570" w:rsidRPr="003F3576" w:rsidRDefault="007A1DA4" w:rsidP="00293570">
      <w:pPr>
        <w:spacing w:line="280" w:lineRule="atLeast"/>
        <w:jc w:val="both"/>
        <w:rPr>
          <w:b/>
          <w:bCs/>
          <w:sz w:val="22"/>
          <w:szCs w:val="22"/>
        </w:rPr>
      </w:pPr>
      <w:r>
        <w:rPr>
          <w:b/>
          <w:bCs/>
          <w:sz w:val="22"/>
          <w:szCs w:val="22"/>
          <w:lang w:val="it-IT"/>
        </w:rPr>
        <w:t>La WRS 240 X distribuisce il legante nei terreni difficili</w:t>
      </w:r>
    </w:p>
    <w:p w14:paraId="6610EBA5" w14:textId="51DF80CE" w:rsidR="00B558F4" w:rsidRDefault="001A49A9" w:rsidP="001A49A9">
      <w:pPr>
        <w:spacing w:line="280" w:lineRule="atLeast"/>
        <w:jc w:val="both"/>
        <w:rPr>
          <w:sz w:val="22"/>
          <w:szCs w:val="22"/>
          <w:highlight w:val="yellow"/>
        </w:rPr>
      </w:pPr>
      <w:r>
        <w:rPr>
          <w:sz w:val="22"/>
          <w:szCs w:val="22"/>
          <w:lang w:val="it-IT"/>
        </w:rPr>
        <w:t>Nel nuovo modello WRS 240 X è stata selezionata la piattaforma della WR 240 X ed è stata integrata nella macchina un’unità spandi-legante per lo spargimento del legante con formazione di polvere ridotta. In questo modo è possibile in particolare l’impiego sulle autostrade, nelle zone industriali con severe norme sulle emissioni e nelle zone residenziali o nelle aree naturali protette. La WRS 240 X è dotata di un volume del serbatoio di 5,5 m³ per il legante, come calce o cemento, ed è assolutamente adatta a tutti i terreni. Il legante in questo modo può essere sparso in modo preciso e sicuro sulle aree impegnative con terreni dalla portanza ridotta. In via opzionale la WRS 240 X può anche spingere davanti a sé un silo di legante. Il riempimento permanente del silo può avvenire costantemente sui sottofondi portanti.</w:t>
      </w:r>
    </w:p>
    <w:p w14:paraId="4F7B80C6" w14:textId="2FDF624D" w:rsidR="003F3576" w:rsidRDefault="003F3576" w:rsidP="00417366">
      <w:pPr>
        <w:spacing w:line="280" w:lineRule="atLeast"/>
        <w:jc w:val="both"/>
        <w:rPr>
          <w:sz w:val="22"/>
          <w:szCs w:val="22"/>
        </w:rPr>
      </w:pPr>
    </w:p>
    <w:p w14:paraId="20087E73" w14:textId="5413167F" w:rsidR="00740F7A" w:rsidRPr="003F3576" w:rsidRDefault="00E261EB" w:rsidP="00E261EB">
      <w:pPr>
        <w:spacing w:line="280" w:lineRule="atLeast"/>
        <w:jc w:val="both"/>
        <w:rPr>
          <w:b/>
          <w:bCs/>
          <w:sz w:val="22"/>
          <w:szCs w:val="22"/>
        </w:rPr>
      </w:pPr>
      <w:r>
        <w:rPr>
          <w:b/>
          <w:bCs/>
          <w:sz w:val="22"/>
          <w:szCs w:val="22"/>
          <w:lang w:val="it-IT"/>
        </w:rPr>
        <w:t>La serie WR sarà disponibile in tutto il mondo dall’estate 2025</w:t>
      </w:r>
    </w:p>
    <w:p w14:paraId="00E7C358" w14:textId="52FF8089" w:rsidR="00740F7A" w:rsidRDefault="00740F7A" w:rsidP="00740F7A">
      <w:pPr>
        <w:spacing w:line="280" w:lineRule="atLeast"/>
        <w:jc w:val="both"/>
        <w:rPr>
          <w:sz w:val="22"/>
          <w:szCs w:val="22"/>
        </w:rPr>
      </w:pPr>
      <w:r>
        <w:rPr>
          <w:sz w:val="22"/>
          <w:szCs w:val="22"/>
          <w:lang w:val="it-IT"/>
        </w:rPr>
        <w:t xml:space="preserve">Con la nuova serie WR Wirtgen offre la tecnica più moderna per il riciclaggio a freddo e la stabilizzazione. La combinazione di comando innovativo, alta potenza e sistemi di assistenza digitali rende possibile un comando semplice, la massima qualità di miscelazione e bassi costi di esercizio. </w:t>
      </w:r>
    </w:p>
    <w:p w14:paraId="2EF2DD30" w14:textId="77777777" w:rsidR="005D4A2F" w:rsidRPr="00AF6CBB" w:rsidRDefault="005D4A2F" w:rsidP="00740F7A">
      <w:pPr>
        <w:spacing w:line="280" w:lineRule="atLeast"/>
        <w:jc w:val="both"/>
        <w:rPr>
          <w:sz w:val="22"/>
          <w:szCs w:val="22"/>
        </w:rPr>
      </w:pPr>
    </w:p>
    <w:p w14:paraId="31412CCB" w14:textId="25C0190F" w:rsidR="00E15EBE" w:rsidRDefault="00E15EBE" w:rsidP="00E15EBE">
      <w:pPr>
        <w:pStyle w:val="Fotos"/>
      </w:pPr>
      <w:r>
        <w:rPr>
          <w:bCs/>
          <w:szCs w:val="22"/>
          <w:lang w:val="it-IT"/>
        </w:rPr>
        <w:t xml:space="preserve">Foto: </w:t>
      </w:r>
    </w:p>
    <w:p w14:paraId="02F2050B" w14:textId="5B3C6D92" w:rsidR="006B2BAD" w:rsidRDefault="007665EE" w:rsidP="007665EE">
      <w:pPr>
        <w:pStyle w:val="BUbold"/>
      </w:pPr>
      <w:r>
        <w:rPr>
          <w:b w:val="0"/>
          <w:noProof/>
          <w:lang w:val="it-IT"/>
        </w:rPr>
        <w:drawing>
          <wp:inline distT="0" distB="0" distL="0" distR="0" wp14:anchorId="64EAD592" wp14:editId="119C4190">
            <wp:extent cx="2583544" cy="1937658"/>
            <wp:effectExtent l="0" t="0" r="762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85923" cy="1939442"/>
                    </a:xfrm>
                    <a:prstGeom prst="rect">
                      <a:avLst/>
                    </a:prstGeom>
                    <a:noFill/>
                    <a:ln>
                      <a:noFill/>
                    </a:ln>
                  </pic:spPr>
                </pic:pic>
              </a:graphicData>
            </a:graphic>
          </wp:inline>
        </w:drawing>
      </w:r>
      <w:r>
        <w:rPr>
          <w:b w:val="0"/>
          <w:lang w:val="it-IT"/>
        </w:rPr>
        <w:tab/>
      </w:r>
      <w:r>
        <w:rPr>
          <w:b w:val="0"/>
          <w:lang w:val="it-IT"/>
        </w:rPr>
        <w:br/>
      </w:r>
      <w:r>
        <w:rPr>
          <w:bCs/>
          <w:lang w:val="it-IT"/>
        </w:rPr>
        <w:t>W_pic_Jobsite_Euskirchen_WR240X_0001_HI</w:t>
      </w:r>
    </w:p>
    <w:p w14:paraId="257B5A26" w14:textId="559C85D9" w:rsidR="00793A3A" w:rsidRPr="00EE6584" w:rsidRDefault="00DB6B0D" w:rsidP="00EE6584">
      <w:pPr>
        <w:pStyle w:val="BUbold"/>
        <w:rPr>
          <w:b w:val="0"/>
          <w:bCs/>
        </w:rPr>
      </w:pPr>
      <w:r>
        <w:rPr>
          <w:b w:val="0"/>
          <w:lang w:val="it-IT"/>
        </w:rPr>
        <w:t xml:space="preserve">Le macchine della serie WR coprono diversi ambiti di applicazione: dal riciclaggio a freddo alla stabilizzazione di diversi materiali edili, ad esempio nella stabilizzazione dei terreni o nel consolidamento nella costruzione di vie di circolazione. </w:t>
      </w:r>
    </w:p>
    <w:p w14:paraId="5492C0D9" w14:textId="3191C20E" w:rsidR="00175AEA" w:rsidRDefault="00175AEA" w:rsidP="00175AEA">
      <w:pPr>
        <w:pStyle w:val="BUnormal"/>
        <w:rPr>
          <w:bCs/>
        </w:rPr>
      </w:pPr>
    </w:p>
    <w:p w14:paraId="33CF43C7" w14:textId="42A382A9" w:rsidR="007665EE" w:rsidRPr="007665EE" w:rsidRDefault="007665EE" w:rsidP="007665EE">
      <w:pPr>
        <w:pStyle w:val="Standardabsatz"/>
        <w:spacing w:after="0"/>
        <w:rPr>
          <w:b/>
          <w:sz w:val="20"/>
        </w:rPr>
      </w:pPr>
      <w:r>
        <w:rPr>
          <w:noProof/>
          <w:lang w:val="it-IT"/>
        </w:rPr>
        <w:drawing>
          <wp:inline distT="0" distB="0" distL="0" distR="0" wp14:anchorId="6420EDA3" wp14:editId="1588528E">
            <wp:extent cx="2615023" cy="174171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18506" cy="1744034"/>
                    </a:xfrm>
                    <a:prstGeom prst="rect">
                      <a:avLst/>
                    </a:prstGeom>
                    <a:noFill/>
                    <a:ln>
                      <a:noFill/>
                    </a:ln>
                  </pic:spPr>
                </pic:pic>
              </a:graphicData>
            </a:graphic>
          </wp:inline>
        </w:drawing>
      </w:r>
      <w:r>
        <w:rPr>
          <w:lang w:val="it-IT"/>
        </w:rPr>
        <w:br/>
      </w:r>
      <w:r>
        <w:rPr>
          <w:b/>
          <w:bCs/>
          <w:sz w:val="20"/>
          <w:lang w:val="it-IT"/>
        </w:rPr>
        <w:t>W_pic_Jobsite_Euskirchen_WR240X_0002_HI</w:t>
      </w:r>
    </w:p>
    <w:p w14:paraId="3E1B06A5" w14:textId="77777777" w:rsidR="00DB6B0D" w:rsidRPr="00EE6584" w:rsidRDefault="00DB6B0D" w:rsidP="00DB6B0D">
      <w:pPr>
        <w:pStyle w:val="BUbold"/>
        <w:rPr>
          <w:b w:val="0"/>
          <w:bCs/>
        </w:rPr>
      </w:pPr>
      <w:r>
        <w:rPr>
          <w:b w:val="0"/>
          <w:lang w:val="it-IT"/>
        </w:rPr>
        <w:t xml:space="preserve">Wirtgen, per la nuova generazione della serie WR, punta su di un sistema di comando ottimizzato per una modalità di lavoro particolarmente efficiente ed economica. </w:t>
      </w:r>
    </w:p>
    <w:p w14:paraId="7E6F7F78" w14:textId="750A6DFB" w:rsidR="00D47B61" w:rsidRDefault="00D47B61">
      <w:pPr>
        <w:rPr>
          <w:rFonts w:eastAsiaTheme="minorHAnsi" w:cstheme="minorBidi"/>
          <w:bCs/>
          <w:sz w:val="20"/>
          <w:szCs w:val="24"/>
        </w:rPr>
      </w:pPr>
      <w:r>
        <w:rPr>
          <w:b/>
          <w:bCs/>
        </w:rPr>
        <w:br w:type="page"/>
      </w:r>
    </w:p>
    <w:p w14:paraId="2C2A28E6" w14:textId="77777777" w:rsidR="007665EE" w:rsidRPr="007665EE" w:rsidRDefault="007665EE" w:rsidP="007665EE">
      <w:pPr>
        <w:pStyle w:val="BUbold"/>
        <w:rPr>
          <w:b w:val="0"/>
          <w:bCs/>
        </w:rPr>
      </w:pPr>
    </w:p>
    <w:p w14:paraId="7FE0320D" w14:textId="22A7834C" w:rsidR="007665EE" w:rsidRPr="001A0B41" w:rsidRDefault="007665EE" w:rsidP="007665EE">
      <w:pPr>
        <w:pStyle w:val="Standardabsatz"/>
        <w:spacing w:after="0"/>
        <w:rPr>
          <w:b/>
          <w:sz w:val="20"/>
        </w:rPr>
      </w:pPr>
      <w:r>
        <w:rPr>
          <w:noProof/>
          <w:lang w:val="it-IT"/>
        </w:rPr>
        <w:drawing>
          <wp:inline distT="0" distB="0" distL="0" distR="0" wp14:anchorId="4C610260" wp14:editId="14119053">
            <wp:extent cx="2667000" cy="1614665"/>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668879" cy="1615802"/>
                    </a:xfrm>
                    <a:prstGeom prst="rect">
                      <a:avLst/>
                    </a:prstGeom>
                    <a:noFill/>
                    <a:ln>
                      <a:noFill/>
                    </a:ln>
                  </pic:spPr>
                </pic:pic>
              </a:graphicData>
            </a:graphic>
          </wp:inline>
        </w:drawing>
      </w:r>
      <w:r>
        <w:rPr>
          <w:lang w:val="it-IT"/>
        </w:rPr>
        <w:br/>
      </w:r>
      <w:r>
        <w:rPr>
          <w:b/>
          <w:bCs/>
          <w:sz w:val="20"/>
          <w:lang w:val="it-IT"/>
        </w:rPr>
        <w:t>W_pic_Graphic_MaskedImage_WRC240X_0001_HI</w:t>
      </w:r>
    </w:p>
    <w:p w14:paraId="38821577" w14:textId="5EBD1EE8" w:rsidR="007665EE" w:rsidRPr="00221208" w:rsidRDefault="007665EE" w:rsidP="007665EE">
      <w:pPr>
        <w:spacing w:line="280" w:lineRule="atLeast"/>
        <w:jc w:val="both"/>
        <w:rPr>
          <w:rFonts w:eastAsiaTheme="minorHAnsi" w:cstheme="minorBidi"/>
          <w:bCs/>
          <w:sz w:val="20"/>
          <w:szCs w:val="24"/>
        </w:rPr>
      </w:pPr>
      <w:r>
        <w:rPr>
          <w:rFonts w:eastAsiaTheme="minorHAnsi" w:cstheme="minorBidi"/>
          <w:sz w:val="20"/>
          <w:szCs w:val="24"/>
          <w:lang w:val="it-IT"/>
        </w:rPr>
        <w:t>Con una larghezza operativa di 2.320 mm e una profondità di lavoro fino a 510 mm, il WRC 240 X raggiunge una performance fino a 600 tonnellate all’ora.</w:t>
      </w:r>
    </w:p>
    <w:p w14:paraId="6CD3074F" w14:textId="717E3FA8" w:rsidR="007665EE" w:rsidRPr="00EE6584" w:rsidRDefault="007665EE" w:rsidP="007665EE">
      <w:pPr>
        <w:pStyle w:val="BUbold"/>
        <w:rPr>
          <w:b w:val="0"/>
          <w:bCs/>
        </w:rPr>
      </w:pPr>
    </w:p>
    <w:p w14:paraId="737ABAC2" w14:textId="26741CC6" w:rsidR="007665EE" w:rsidRDefault="007665EE" w:rsidP="007665EE">
      <w:pPr>
        <w:pStyle w:val="Standardabsatz"/>
      </w:pPr>
      <w:r>
        <w:rPr>
          <w:noProof/>
          <w:lang w:val="it-IT"/>
        </w:rPr>
        <w:drawing>
          <wp:inline distT="0" distB="0" distL="0" distR="0" wp14:anchorId="06E59BC2" wp14:editId="2B4DD4A0">
            <wp:extent cx="2634391" cy="1632857"/>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39322" cy="1635914"/>
                    </a:xfrm>
                    <a:prstGeom prst="rect">
                      <a:avLst/>
                    </a:prstGeom>
                    <a:noFill/>
                    <a:ln>
                      <a:noFill/>
                    </a:ln>
                  </pic:spPr>
                </pic:pic>
              </a:graphicData>
            </a:graphic>
          </wp:inline>
        </w:drawing>
      </w:r>
    </w:p>
    <w:p w14:paraId="4F80B0CB" w14:textId="360EC591" w:rsidR="007665EE" w:rsidRPr="001A0B41" w:rsidRDefault="007665EE" w:rsidP="007665EE">
      <w:pPr>
        <w:pStyle w:val="Standardabsatz"/>
        <w:spacing w:after="0"/>
        <w:rPr>
          <w:b/>
          <w:sz w:val="20"/>
        </w:rPr>
      </w:pPr>
      <w:r>
        <w:rPr>
          <w:b/>
          <w:bCs/>
          <w:sz w:val="20"/>
          <w:lang w:val="it-IT"/>
        </w:rPr>
        <w:t>W_pic_Graphic_MaskedImage_WRS240X_0001_HI</w:t>
      </w:r>
    </w:p>
    <w:p w14:paraId="76CC5935" w14:textId="30E6130A" w:rsidR="007665EE" w:rsidRPr="00EE6584" w:rsidRDefault="0078024D" w:rsidP="007665EE">
      <w:pPr>
        <w:pStyle w:val="BUbold"/>
        <w:rPr>
          <w:b w:val="0"/>
          <w:bCs/>
        </w:rPr>
      </w:pPr>
      <w:r>
        <w:rPr>
          <w:b w:val="0"/>
          <w:lang w:val="it-IT"/>
        </w:rPr>
        <w:t>Il WRS 240 X con unità spandi-legante integrata nella macchina offre un volume del serbatoio di 5,5 m³ per lo spargimento del legante, come calce o cemento, con formazione di polvere ridotta.</w:t>
      </w:r>
      <w:r>
        <w:rPr>
          <w:bCs/>
          <w:sz w:val="22"/>
          <w:szCs w:val="22"/>
          <w:lang w:val="it-IT"/>
        </w:rPr>
        <w:t xml:space="preserve"> </w:t>
      </w:r>
    </w:p>
    <w:p w14:paraId="6FBE1DF2" w14:textId="77777777" w:rsidR="007665EE" w:rsidRPr="007665EE" w:rsidRDefault="007665EE" w:rsidP="007665EE">
      <w:pPr>
        <w:pStyle w:val="Standardabsatz"/>
      </w:pPr>
    </w:p>
    <w:p w14:paraId="04824B2F" w14:textId="4D31484B" w:rsidR="00F74540" w:rsidRPr="006C0C87" w:rsidRDefault="00E15EBE" w:rsidP="006C0C87">
      <w:pPr>
        <w:pStyle w:val="Note"/>
      </w:pPr>
      <w:r>
        <w:rPr>
          <w:iCs/>
          <w:lang w:val="it-IT"/>
        </w:rPr>
        <w:t>Avvertenza: Queste foto servono soltanto per la visualizzazione in anteprima. Per la stampa nelle pubblicazioni vi preghiamo di usare le foto in risoluzione 300 dpi, scaricabili dai siti web del Wirtgen Group.</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it-IT"/>
        </w:rPr>
        <w:t>Per maggiori informazioni contattare:</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Pubbliche Relazioni</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Deutschland</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it-IT"/>
        </w:rPr>
        <w:t xml:space="preserve">Telefono: </w:t>
      </w:r>
      <w:r>
        <w:rPr>
          <w:bCs w:val="0"/>
          <w:iCs w:val="0"/>
          <w:lang w:val="it-IT"/>
        </w:rPr>
        <w:tab/>
        <w:t xml:space="preserve">+49 (0) 2645 131 – 1966 </w:t>
      </w:r>
    </w:p>
    <w:p w14:paraId="65F4C38F" w14:textId="4201B86C" w:rsidR="00E15EBE" w:rsidRDefault="00E15EBE" w:rsidP="005C36C7">
      <w:pPr>
        <w:pStyle w:val="Fuzeile1"/>
        <w:tabs>
          <w:tab w:val="left" w:pos="993"/>
        </w:tabs>
      </w:pPr>
      <w:r>
        <w:rPr>
          <w:bCs w:val="0"/>
          <w:iCs w:val="0"/>
          <w:lang w:val="it-IT"/>
        </w:rPr>
        <w:t xml:space="preserve">Fax: </w:t>
      </w:r>
      <w:r>
        <w:rPr>
          <w:bCs w:val="0"/>
          <w:iCs w:val="0"/>
          <w:lang w:val="it-IT"/>
        </w:rPr>
        <w:tab/>
        <w:t>+49 (0) 2645 131 – 499</w:t>
      </w:r>
    </w:p>
    <w:p w14:paraId="79FF3B7C" w14:textId="6CBA4BFA" w:rsidR="00E15EBE" w:rsidRDefault="00E15EBE" w:rsidP="005C36C7">
      <w:pPr>
        <w:pStyle w:val="Fuzeile1"/>
        <w:tabs>
          <w:tab w:val="left" w:pos="993"/>
        </w:tabs>
      </w:pPr>
      <w:r>
        <w:rPr>
          <w:bCs w:val="0"/>
          <w:iCs w:val="0"/>
          <w:lang w:val="it-IT"/>
        </w:rPr>
        <w:t xml:space="preserve">E-mail: </w:t>
      </w:r>
      <w:r>
        <w:rPr>
          <w:bCs w:val="0"/>
          <w:iCs w:val="0"/>
          <w:lang w:val="it-IT"/>
        </w:rPr>
        <w:tab/>
        <w:t>PR@wirtgen-group.com</w:t>
      </w:r>
    </w:p>
    <w:p w14:paraId="4F99EB86" w14:textId="77777777" w:rsidR="00E15EBE" w:rsidRPr="00F91A52" w:rsidRDefault="00E15EBE" w:rsidP="00E15EBE">
      <w:pPr>
        <w:pStyle w:val="Fuzeile1"/>
        <w:rPr>
          <w:vanish/>
        </w:rPr>
      </w:pPr>
    </w:p>
    <w:p w14:paraId="3D604A55" w14:textId="25D01BCC" w:rsidR="00F048D4" w:rsidRDefault="000B2E39" w:rsidP="00F74540">
      <w:pPr>
        <w:pStyle w:val="Fuzeile1"/>
      </w:pPr>
      <w:r>
        <w:rPr>
          <w:bCs w:val="0"/>
          <w:iCs w:val="0"/>
          <w:lang w:val="it-IT"/>
        </w:rPr>
        <w:t>www.wirtgen-group.com</w:t>
      </w:r>
    </w:p>
    <w:p w14:paraId="3BE13CAE" w14:textId="2DE569E7" w:rsidR="000C14B6" w:rsidRDefault="000C14B6" w:rsidP="00F74540">
      <w:pPr>
        <w:pStyle w:val="Fuzeile1"/>
      </w:pPr>
    </w:p>
    <w:sectPr w:rsidR="000C14B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it-IT"/>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it-IT"/>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it-IT"/>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Company Use</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768557" o:spid="_x0000_i1026" type="#_x0000_t75" style="width:1500pt;height:1500pt;visibility:visible;mso-wrap-style:square" o:bullet="t">
        <v:imagedata r:id="rId1" o:title=""/>
      </v:shape>
    </w:pict>
  </w:numPicBullet>
  <w:numPicBullet w:numPicBulletId="1">
    <w:pict>
      <v:shape id="Grafik 947779604" o:sp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5AA2439"/>
    <w:multiLevelType w:val="hybridMultilevel"/>
    <w:tmpl w:val="AD005BEE"/>
    <w:lvl w:ilvl="0" w:tplc="16C4B35E">
      <w:start w:val="1"/>
      <w:numFmt w:val="bullet"/>
      <w:lvlText w:val="-"/>
      <w:lvlJc w:val="left"/>
      <w:pPr>
        <w:tabs>
          <w:tab w:val="num" w:pos="720"/>
        </w:tabs>
        <w:ind w:left="720" w:hanging="360"/>
      </w:pPr>
      <w:rPr>
        <w:rFonts w:ascii="Times New Roman" w:hAnsi="Times New Roman" w:hint="default"/>
      </w:rPr>
    </w:lvl>
    <w:lvl w:ilvl="1" w:tplc="A768CC06" w:tentative="1">
      <w:start w:val="1"/>
      <w:numFmt w:val="bullet"/>
      <w:lvlText w:val="-"/>
      <w:lvlJc w:val="left"/>
      <w:pPr>
        <w:tabs>
          <w:tab w:val="num" w:pos="1440"/>
        </w:tabs>
        <w:ind w:left="1440" w:hanging="360"/>
      </w:pPr>
      <w:rPr>
        <w:rFonts w:ascii="Times New Roman" w:hAnsi="Times New Roman" w:hint="default"/>
      </w:rPr>
    </w:lvl>
    <w:lvl w:ilvl="2" w:tplc="9A2ACABA" w:tentative="1">
      <w:start w:val="1"/>
      <w:numFmt w:val="bullet"/>
      <w:lvlText w:val="-"/>
      <w:lvlJc w:val="left"/>
      <w:pPr>
        <w:tabs>
          <w:tab w:val="num" w:pos="2160"/>
        </w:tabs>
        <w:ind w:left="2160" w:hanging="360"/>
      </w:pPr>
      <w:rPr>
        <w:rFonts w:ascii="Times New Roman" w:hAnsi="Times New Roman" w:hint="default"/>
      </w:rPr>
    </w:lvl>
    <w:lvl w:ilvl="3" w:tplc="E33AE564" w:tentative="1">
      <w:start w:val="1"/>
      <w:numFmt w:val="bullet"/>
      <w:lvlText w:val="-"/>
      <w:lvlJc w:val="left"/>
      <w:pPr>
        <w:tabs>
          <w:tab w:val="num" w:pos="2880"/>
        </w:tabs>
        <w:ind w:left="2880" w:hanging="360"/>
      </w:pPr>
      <w:rPr>
        <w:rFonts w:ascii="Times New Roman" w:hAnsi="Times New Roman" w:hint="default"/>
      </w:rPr>
    </w:lvl>
    <w:lvl w:ilvl="4" w:tplc="C6A89C42" w:tentative="1">
      <w:start w:val="1"/>
      <w:numFmt w:val="bullet"/>
      <w:lvlText w:val="-"/>
      <w:lvlJc w:val="left"/>
      <w:pPr>
        <w:tabs>
          <w:tab w:val="num" w:pos="3600"/>
        </w:tabs>
        <w:ind w:left="3600" w:hanging="360"/>
      </w:pPr>
      <w:rPr>
        <w:rFonts w:ascii="Times New Roman" w:hAnsi="Times New Roman" w:hint="default"/>
      </w:rPr>
    </w:lvl>
    <w:lvl w:ilvl="5" w:tplc="1724FF40" w:tentative="1">
      <w:start w:val="1"/>
      <w:numFmt w:val="bullet"/>
      <w:lvlText w:val="-"/>
      <w:lvlJc w:val="left"/>
      <w:pPr>
        <w:tabs>
          <w:tab w:val="num" w:pos="4320"/>
        </w:tabs>
        <w:ind w:left="4320" w:hanging="360"/>
      </w:pPr>
      <w:rPr>
        <w:rFonts w:ascii="Times New Roman" w:hAnsi="Times New Roman" w:hint="default"/>
      </w:rPr>
    </w:lvl>
    <w:lvl w:ilvl="6" w:tplc="EB941FB6" w:tentative="1">
      <w:start w:val="1"/>
      <w:numFmt w:val="bullet"/>
      <w:lvlText w:val="-"/>
      <w:lvlJc w:val="left"/>
      <w:pPr>
        <w:tabs>
          <w:tab w:val="num" w:pos="5040"/>
        </w:tabs>
        <w:ind w:left="5040" w:hanging="360"/>
      </w:pPr>
      <w:rPr>
        <w:rFonts w:ascii="Times New Roman" w:hAnsi="Times New Roman" w:hint="default"/>
      </w:rPr>
    </w:lvl>
    <w:lvl w:ilvl="7" w:tplc="D452F00E" w:tentative="1">
      <w:start w:val="1"/>
      <w:numFmt w:val="bullet"/>
      <w:lvlText w:val="-"/>
      <w:lvlJc w:val="left"/>
      <w:pPr>
        <w:tabs>
          <w:tab w:val="num" w:pos="5760"/>
        </w:tabs>
        <w:ind w:left="5760" w:hanging="360"/>
      </w:pPr>
      <w:rPr>
        <w:rFonts w:ascii="Times New Roman" w:hAnsi="Times New Roman" w:hint="default"/>
      </w:rPr>
    </w:lvl>
    <w:lvl w:ilvl="8" w:tplc="06B0D9D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82D21F6"/>
    <w:multiLevelType w:val="hybridMultilevel"/>
    <w:tmpl w:val="11D20892"/>
    <w:lvl w:ilvl="0" w:tplc="12B27F54">
      <w:start w:val="1"/>
      <w:numFmt w:val="bullet"/>
      <w:lvlText w:val="-"/>
      <w:lvlJc w:val="left"/>
      <w:pPr>
        <w:tabs>
          <w:tab w:val="num" w:pos="720"/>
        </w:tabs>
        <w:ind w:left="720" w:hanging="360"/>
      </w:pPr>
      <w:rPr>
        <w:rFonts w:ascii="Times New Roman" w:hAnsi="Times New Roman" w:hint="default"/>
      </w:rPr>
    </w:lvl>
    <w:lvl w:ilvl="1" w:tplc="482408BA" w:tentative="1">
      <w:start w:val="1"/>
      <w:numFmt w:val="bullet"/>
      <w:lvlText w:val="-"/>
      <w:lvlJc w:val="left"/>
      <w:pPr>
        <w:tabs>
          <w:tab w:val="num" w:pos="1440"/>
        </w:tabs>
        <w:ind w:left="1440" w:hanging="360"/>
      </w:pPr>
      <w:rPr>
        <w:rFonts w:ascii="Times New Roman" w:hAnsi="Times New Roman" w:hint="default"/>
      </w:rPr>
    </w:lvl>
    <w:lvl w:ilvl="2" w:tplc="311A1A12" w:tentative="1">
      <w:start w:val="1"/>
      <w:numFmt w:val="bullet"/>
      <w:lvlText w:val="-"/>
      <w:lvlJc w:val="left"/>
      <w:pPr>
        <w:tabs>
          <w:tab w:val="num" w:pos="2160"/>
        </w:tabs>
        <w:ind w:left="2160" w:hanging="360"/>
      </w:pPr>
      <w:rPr>
        <w:rFonts w:ascii="Times New Roman" w:hAnsi="Times New Roman" w:hint="default"/>
      </w:rPr>
    </w:lvl>
    <w:lvl w:ilvl="3" w:tplc="9F6C606E" w:tentative="1">
      <w:start w:val="1"/>
      <w:numFmt w:val="bullet"/>
      <w:lvlText w:val="-"/>
      <w:lvlJc w:val="left"/>
      <w:pPr>
        <w:tabs>
          <w:tab w:val="num" w:pos="2880"/>
        </w:tabs>
        <w:ind w:left="2880" w:hanging="360"/>
      </w:pPr>
      <w:rPr>
        <w:rFonts w:ascii="Times New Roman" w:hAnsi="Times New Roman" w:hint="default"/>
      </w:rPr>
    </w:lvl>
    <w:lvl w:ilvl="4" w:tplc="E39ED7AE" w:tentative="1">
      <w:start w:val="1"/>
      <w:numFmt w:val="bullet"/>
      <w:lvlText w:val="-"/>
      <w:lvlJc w:val="left"/>
      <w:pPr>
        <w:tabs>
          <w:tab w:val="num" w:pos="3600"/>
        </w:tabs>
        <w:ind w:left="3600" w:hanging="360"/>
      </w:pPr>
      <w:rPr>
        <w:rFonts w:ascii="Times New Roman" w:hAnsi="Times New Roman" w:hint="default"/>
      </w:rPr>
    </w:lvl>
    <w:lvl w:ilvl="5" w:tplc="C4B84F24" w:tentative="1">
      <w:start w:val="1"/>
      <w:numFmt w:val="bullet"/>
      <w:lvlText w:val="-"/>
      <w:lvlJc w:val="left"/>
      <w:pPr>
        <w:tabs>
          <w:tab w:val="num" w:pos="4320"/>
        </w:tabs>
        <w:ind w:left="4320" w:hanging="360"/>
      </w:pPr>
      <w:rPr>
        <w:rFonts w:ascii="Times New Roman" w:hAnsi="Times New Roman" w:hint="default"/>
      </w:rPr>
    </w:lvl>
    <w:lvl w:ilvl="6" w:tplc="86529988" w:tentative="1">
      <w:start w:val="1"/>
      <w:numFmt w:val="bullet"/>
      <w:lvlText w:val="-"/>
      <w:lvlJc w:val="left"/>
      <w:pPr>
        <w:tabs>
          <w:tab w:val="num" w:pos="5040"/>
        </w:tabs>
        <w:ind w:left="5040" w:hanging="360"/>
      </w:pPr>
      <w:rPr>
        <w:rFonts w:ascii="Times New Roman" w:hAnsi="Times New Roman" w:hint="default"/>
      </w:rPr>
    </w:lvl>
    <w:lvl w:ilvl="7" w:tplc="7E22622C" w:tentative="1">
      <w:start w:val="1"/>
      <w:numFmt w:val="bullet"/>
      <w:lvlText w:val="-"/>
      <w:lvlJc w:val="left"/>
      <w:pPr>
        <w:tabs>
          <w:tab w:val="num" w:pos="5760"/>
        </w:tabs>
        <w:ind w:left="5760" w:hanging="360"/>
      </w:pPr>
      <w:rPr>
        <w:rFonts w:ascii="Times New Roman" w:hAnsi="Times New Roman" w:hint="default"/>
      </w:rPr>
    </w:lvl>
    <w:lvl w:ilvl="8" w:tplc="CB143C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ACD4FC7"/>
    <w:multiLevelType w:val="hybridMultilevel"/>
    <w:tmpl w:val="A8C2C2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2E509E8"/>
    <w:multiLevelType w:val="hybridMultilevel"/>
    <w:tmpl w:val="7BA00B90"/>
    <w:lvl w:ilvl="0" w:tplc="1224518C">
      <w:start w:val="1"/>
      <w:numFmt w:val="bullet"/>
      <w:lvlText w:val="-"/>
      <w:lvlJc w:val="left"/>
      <w:pPr>
        <w:tabs>
          <w:tab w:val="num" w:pos="720"/>
        </w:tabs>
        <w:ind w:left="720" w:hanging="360"/>
      </w:pPr>
      <w:rPr>
        <w:rFonts w:ascii="Times New Roman" w:hAnsi="Times New Roman" w:hint="default"/>
      </w:rPr>
    </w:lvl>
    <w:lvl w:ilvl="1" w:tplc="F0602588" w:tentative="1">
      <w:start w:val="1"/>
      <w:numFmt w:val="bullet"/>
      <w:lvlText w:val="-"/>
      <w:lvlJc w:val="left"/>
      <w:pPr>
        <w:tabs>
          <w:tab w:val="num" w:pos="1440"/>
        </w:tabs>
        <w:ind w:left="1440" w:hanging="360"/>
      </w:pPr>
      <w:rPr>
        <w:rFonts w:ascii="Times New Roman" w:hAnsi="Times New Roman" w:hint="default"/>
      </w:rPr>
    </w:lvl>
    <w:lvl w:ilvl="2" w:tplc="2F5678F0" w:tentative="1">
      <w:start w:val="1"/>
      <w:numFmt w:val="bullet"/>
      <w:lvlText w:val="-"/>
      <w:lvlJc w:val="left"/>
      <w:pPr>
        <w:tabs>
          <w:tab w:val="num" w:pos="2160"/>
        </w:tabs>
        <w:ind w:left="2160" w:hanging="360"/>
      </w:pPr>
      <w:rPr>
        <w:rFonts w:ascii="Times New Roman" w:hAnsi="Times New Roman" w:hint="default"/>
      </w:rPr>
    </w:lvl>
    <w:lvl w:ilvl="3" w:tplc="FA74D464" w:tentative="1">
      <w:start w:val="1"/>
      <w:numFmt w:val="bullet"/>
      <w:lvlText w:val="-"/>
      <w:lvlJc w:val="left"/>
      <w:pPr>
        <w:tabs>
          <w:tab w:val="num" w:pos="2880"/>
        </w:tabs>
        <w:ind w:left="2880" w:hanging="360"/>
      </w:pPr>
      <w:rPr>
        <w:rFonts w:ascii="Times New Roman" w:hAnsi="Times New Roman" w:hint="default"/>
      </w:rPr>
    </w:lvl>
    <w:lvl w:ilvl="4" w:tplc="AF641F10" w:tentative="1">
      <w:start w:val="1"/>
      <w:numFmt w:val="bullet"/>
      <w:lvlText w:val="-"/>
      <w:lvlJc w:val="left"/>
      <w:pPr>
        <w:tabs>
          <w:tab w:val="num" w:pos="3600"/>
        </w:tabs>
        <w:ind w:left="3600" w:hanging="360"/>
      </w:pPr>
      <w:rPr>
        <w:rFonts w:ascii="Times New Roman" w:hAnsi="Times New Roman" w:hint="default"/>
      </w:rPr>
    </w:lvl>
    <w:lvl w:ilvl="5" w:tplc="061E0A40" w:tentative="1">
      <w:start w:val="1"/>
      <w:numFmt w:val="bullet"/>
      <w:lvlText w:val="-"/>
      <w:lvlJc w:val="left"/>
      <w:pPr>
        <w:tabs>
          <w:tab w:val="num" w:pos="4320"/>
        </w:tabs>
        <w:ind w:left="4320" w:hanging="360"/>
      </w:pPr>
      <w:rPr>
        <w:rFonts w:ascii="Times New Roman" w:hAnsi="Times New Roman" w:hint="default"/>
      </w:rPr>
    </w:lvl>
    <w:lvl w:ilvl="6" w:tplc="B71A0792" w:tentative="1">
      <w:start w:val="1"/>
      <w:numFmt w:val="bullet"/>
      <w:lvlText w:val="-"/>
      <w:lvlJc w:val="left"/>
      <w:pPr>
        <w:tabs>
          <w:tab w:val="num" w:pos="5040"/>
        </w:tabs>
        <w:ind w:left="5040" w:hanging="360"/>
      </w:pPr>
      <w:rPr>
        <w:rFonts w:ascii="Times New Roman" w:hAnsi="Times New Roman" w:hint="default"/>
      </w:rPr>
    </w:lvl>
    <w:lvl w:ilvl="7" w:tplc="D1A2DA02" w:tentative="1">
      <w:start w:val="1"/>
      <w:numFmt w:val="bullet"/>
      <w:lvlText w:val="-"/>
      <w:lvlJc w:val="left"/>
      <w:pPr>
        <w:tabs>
          <w:tab w:val="num" w:pos="5760"/>
        </w:tabs>
        <w:ind w:left="5760" w:hanging="360"/>
      </w:pPr>
      <w:rPr>
        <w:rFonts w:ascii="Times New Roman" w:hAnsi="Times New Roman" w:hint="default"/>
      </w:rPr>
    </w:lvl>
    <w:lvl w:ilvl="8" w:tplc="0C68369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3"/>
  </w:num>
  <w:num w:numId="7">
    <w:abstractNumId w:val="3"/>
  </w:num>
  <w:num w:numId="8">
    <w:abstractNumId w:val="3"/>
  </w:num>
  <w:num w:numId="9">
    <w:abstractNumId w:val="3"/>
  </w:num>
  <w:num w:numId="10">
    <w:abstractNumId w:val="3"/>
  </w:num>
  <w:num w:numId="11">
    <w:abstractNumId w:val="10"/>
  </w:num>
  <w:num w:numId="12">
    <w:abstractNumId w:val="10"/>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3"/>
  </w:num>
  <w:num w:numId="28">
    <w:abstractNumId w:val="7"/>
  </w:num>
  <w:num w:numId="29">
    <w:abstractNumId w:val="11"/>
  </w:num>
  <w:num w:numId="30">
    <w:abstractNumId w:val="14"/>
  </w:num>
  <w:num w:numId="31">
    <w:abstractNumId w:val="17"/>
  </w:num>
  <w:num w:numId="32">
    <w:abstractNumId w:val="5"/>
  </w:num>
  <w:num w:numId="33">
    <w:abstractNumId w:val="8"/>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341"/>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2E39"/>
    <w:rsid w:val="000B582B"/>
    <w:rsid w:val="000C006D"/>
    <w:rsid w:val="000C10F6"/>
    <w:rsid w:val="000C14B6"/>
    <w:rsid w:val="000C4C25"/>
    <w:rsid w:val="000D15C3"/>
    <w:rsid w:val="000E24F8"/>
    <w:rsid w:val="000E47BD"/>
    <w:rsid w:val="000E5738"/>
    <w:rsid w:val="000F482A"/>
    <w:rsid w:val="00103205"/>
    <w:rsid w:val="00106ED6"/>
    <w:rsid w:val="0011795C"/>
    <w:rsid w:val="0012026F"/>
    <w:rsid w:val="0012631C"/>
    <w:rsid w:val="001265B1"/>
    <w:rsid w:val="0012755A"/>
    <w:rsid w:val="00130601"/>
    <w:rsid w:val="00132055"/>
    <w:rsid w:val="00135635"/>
    <w:rsid w:val="00146C3D"/>
    <w:rsid w:val="00150B38"/>
    <w:rsid w:val="00153B47"/>
    <w:rsid w:val="00155B7C"/>
    <w:rsid w:val="001613A6"/>
    <w:rsid w:val="001614F0"/>
    <w:rsid w:val="001616F4"/>
    <w:rsid w:val="00164CC9"/>
    <w:rsid w:val="00165051"/>
    <w:rsid w:val="00175AEA"/>
    <w:rsid w:val="00177214"/>
    <w:rsid w:val="0018021A"/>
    <w:rsid w:val="00181B3A"/>
    <w:rsid w:val="00181BC3"/>
    <w:rsid w:val="00194FB1"/>
    <w:rsid w:val="001A08C8"/>
    <w:rsid w:val="001A0B41"/>
    <w:rsid w:val="001A0CCB"/>
    <w:rsid w:val="001A1920"/>
    <w:rsid w:val="001A49A9"/>
    <w:rsid w:val="001B0708"/>
    <w:rsid w:val="001B16BB"/>
    <w:rsid w:val="001B34EE"/>
    <w:rsid w:val="001C1A3E"/>
    <w:rsid w:val="001C3D07"/>
    <w:rsid w:val="001C413D"/>
    <w:rsid w:val="001C7305"/>
    <w:rsid w:val="001C772B"/>
    <w:rsid w:val="001E3FD4"/>
    <w:rsid w:val="001F0D68"/>
    <w:rsid w:val="001F65C7"/>
    <w:rsid w:val="00200355"/>
    <w:rsid w:val="002129DC"/>
    <w:rsid w:val="0021351D"/>
    <w:rsid w:val="00213E6A"/>
    <w:rsid w:val="00221208"/>
    <w:rsid w:val="002309FC"/>
    <w:rsid w:val="00245A0C"/>
    <w:rsid w:val="00253992"/>
    <w:rsid w:val="00253A2E"/>
    <w:rsid w:val="00254E4C"/>
    <w:rsid w:val="002603EC"/>
    <w:rsid w:val="002611FE"/>
    <w:rsid w:val="0027531A"/>
    <w:rsid w:val="00282AFC"/>
    <w:rsid w:val="00283D98"/>
    <w:rsid w:val="00286C15"/>
    <w:rsid w:val="00290F93"/>
    <w:rsid w:val="00293570"/>
    <w:rsid w:val="0029634D"/>
    <w:rsid w:val="00296DB0"/>
    <w:rsid w:val="002B125B"/>
    <w:rsid w:val="002C7542"/>
    <w:rsid w:val="002D065C"/>
    <w:rsid w:val="002D0780"/>
    <w:rsid w:val="002D2EE5"/>
    <w:rsid w:val="002D495F"/>
    <w:rsid w:val="002D63E6"/>
    <w:rsid w:val="002E1DB6"/>
    <w:rsid w:val="002E765F"/>
    <w:rsid w:val="002E7E4E"/>
    <w:rsid w:val="002F108B"/>
    <w:rsid w:val="002F5818"/>
    <w:rsid w:val="002F70FD"/>
    <w:rsid w:val="0030316D"/>
    <w:rsid w:val="003075ED"/>
    <w:rsid w:val="00320155"/>
    <w:rsid w:val="00320EBD"/>
    <w:rsid w:val="003232D9"/>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A7898"/>
    <w:rsid w:val="003B3803"/>
    <w:rsid w:val="003B51F6"/>
    <w:rsid w:val="003C2A71"/>
    <w:rsid w:val="003D09FB"/>
    <w:rsid w:val="003E164D"/>
    <w:rsid w:val="003E1CB6"/>
    <w:rsid w:val="003E3CF6"/>
    <w:rsid w:val="003E759F"/>
    <w:rsid w:val="003E7853"/>
    <w:rsid w:val="003F24FB"/>
    <w:rsid w:val="003F3576"/>
    <w:rsid w:val="003F57AB"/>
    <w:rsid w:val="00400FD9"/>
    <w:rsid w:val="004012F2"/>
    <w:rsid w:val="004016F7"/>
    <w:rsid w:val="00403373"/>
    <w:rsid w:val="00405C70"/>
    <w:rsid w:val="00405CE3"/>
    <w:rsid w:val="00406B04"/>
    <w:rsid w:val="00406C81"/>
    <w:rsid w:val="00412545"/>
    <w:rsid w:val="0041475A"/>
    <w:rsid w:val="00417237"/>
    <w:rsid w:val="00417366"/>
    <w:rsid w:val="00423A73"/>
    <w:rsid w:val="00430BB0"/>
    <w:rsid w:val="00431661"/>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6409"/>
    <w:rsid w:val="00507964"/>
    <w:rsid w:val="005101B4"/>
    <w:rsid w:val="00516DFA"/>
    <w:rsid w:val="0052300F"/>
    <w:rsid w:val="00530E32"/>
    <w:rsid w:val="00533132"/>
    <w:rsid w:val="00537210"/>
    <w:rsid w:val="005475CA"/>
    <w:rsid w:val="005538F3"/>
    <w:rsid w:val="005641EF"/>
    <w:rsid w:val="005649F4"/>
    <w:rsid w:val="005710C8"/>
    <w:rsid w:val="005711A3"/>
    <w:rsid w:val="00571A5C"/>
    <w:rsid w:val="00573B2B"/>
    <w:rsid w:val="005776E9"/>
    <w:rsid w:val="005851AB"/>
    <w:rsid w:val="00585300"/>
    <w:rsid w:val="00587AD9"/>
    <w:rsid w:val="005909A8"/>
    <w:rsid w:val="00595514"/>
    <w:rsid w:val="005A3338"/>
    <w:rsid w:val="005A4F04"/>
    <w:rsid w:val="005B5793"/>
    <w:rsid w:val="005B69A7"/>
    <w:rsid w:val="005C0E48"/>
    <w:rsid w:val="005C36C7"/>
    <w:rsid w:val="005C6B30"/>
    <w:rsid w:val="005C71EC"/>
    <w:rsid w:val="005D16A0"/>
    <w:rsid w:val="005D1707"/>
    <w:rsid w:val="005D29B1"/>
    <w:rsid w:val="005D4A2F"/>
    <w:rsid w:val="005D62FC"/>
    <w:rsid w:val="005E764C"/>
    <w:rsid w:val="005E7F7D"/>
    <w:rsid w:val="00602070"/>
    <w:rsid w:val="006063D4"/>
    <w:rsid w:val="00616CF6"/>
    <w:rsid w:val="00621E51"/>
    <w:rsid w:val="00623B37"/>
    <w:rsid w:val="00624ABE"/>
    <w:rsid w:val="006276E7"/>
    <w:rsid w:val="006330A2"/>
    <w:rsid w:val="00642EB6"/>
    <w:rsid w:val="006433E2"/>
    <w:rsid w:val="00651E5D"/>
    <w:rsid w:val="00655350"/>
    <w:rsid w:val="00657E6F"/>
    <w:rsid w:val="0067407B"/>
    <w:rsid w:val="00677F11"/>
    <w:rsid w:val="00682B1A"/>
    <w:rsid w:val="00690D7C"/>
    <w:rsid w:val="00690DFE"/>
    <w:rsid w:val="006A46EA"/>
    <w:rsid w:val="006A4DBC"/>
    <w:rsid w:val="006B2BAD"/>
    <w:rsid w:val="006B3EEC"/>
    <w:rsid w:val="006C0C87"/>
    <w:rsid w:val="006C58FE"/>
    <w:rsid w:val="006D6CC6"/>
    <w:rsid w:val="006D7EAC"/>
    <w:rsid w:val="006E0104"/>
    <w:rsid w:val="006E7F95"/>
    <w:rsid w:val="006F2B5C"/>
    <w:rsid w:val="006F7602"/>
    <w:rsid w:val="00710680"/>
    <w:rsid w:val="00714B18"/>
    <w:rsid w:val="00722A17"/>
    <w:rsid w:val="00723F4F"/>
    <w:rsid w:val="00725442"/>
    <w:rsid w:val="00740F7A"/>
    <w:rsid w:val="00741BE5"/>
    <w:rsid w:val="00747B9E"/>
    <w:rsid w:val="00754B80"/>
    <w:rsid w:val="00754C31"/>
    <w:rsid w:val="00755AE0"/>
    <w:rsid w:val="00757266"/>
    <w:rsid w:val="0075761B"/>
    <w:rsid w:val="00757B83"/>
    <w:rsid w:val="00765D74"/>
    <w:rsid w:val="007665EE"/>
    <w:rsid w:val="00774358"/>
    <w:rsid w:val="0078024D"/>
    <w:rsid w:val="0079176B"/>
    <w:rsid w:val="00791A69"/>
    <w:rsid w:val="00793A3A"/>
    <w:rsid w:val="0079462A"/>
    <w:rsid w:val="00794830"/>
    <w:rsid w:val="00797CAA"/>
    <w:rsid w:val="007A1DA4"/>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4E7B"/>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4409"/>
    <w:rsid w:val="008755E5"/>
    <w:rsid w:val="0087582D"/>
    <w:rsid w:val="00881E44"/>
    <w:rsid w:val="008838EF"/>
    <w:rsid w:val="00885678"/>
    <w:rsid w:val="00887D7F"/>
    <w:rsid w:val="008922F3"/>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A7DEB"/>
    <w:rsid w:val="009B0DCD"/>
    <w:rsid w:val="009B17A9"/>
    <w:rsid w:val="009B211F"/>
    <w:rsid w:val="009B7C05"/>
    <w:rsid w:val="009C2378"/>
    <w:rsid w:val="009C5A77"/>
    <w:rsid w:val="009C5D99"/>
    <w:rsid w:val="009D016F"/>
    <w:rsid w:val="009D4AF0"/>
    <w:rsid w:val="009E251D"/>
    <w:rsid w:val="009E4817"/>
    <w:rsid w:val="009F01C5"/>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24FA"/>
    <w:rsid w:val="00AA26D5"/>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AF6CBB"/>
    <w:rsid w:val="00B040BA"/>
    <w:rsid w:val="00B06265"/>
    <w:rsid w:val="00B124F8"/>
    <w:rsid w:val="00B1299E"/>
    <w:rsid w:val="00B138C7"/>
    <w:rsid w:val="00B22DF6"/>
    <w:rsid w:val="00B34767"/>
    <w:rsid w:val="00B423A2"/>
    <w:rsid w:val="00B5232A"/>
    <w:rsid w:val="00B558F4"/>
    <w:rsid w:val="00B60ED1"/>
    <w:rsid w:val="00B62CF5"/>
    <w:rsid w:val="00B769CC"/>
    <w:rsid w:val="00B825EB"/>
    <w:rsid w:val="00B82BC8"/>
    <w:rsid w:val="00B85705"/>
    <w:rsid w:val="00B874DC"/>
    <w:rsid w:val="00B90F78"/>
    <w:rsid w:val="00BA6A1A"/>
    <w:rsid w:val="00BC1943"/>
    <w:rsid w:val="00BD1058"/>
    <w:rsid w:val="00BD25D1"/>
    <w:rsid w:val="00BD5391"/>
    <w:rsid w:val="00BD5413"/>
    <w:rsid w:val="00BD764C"/>
    <w:rsid w:val="00BE6771"/>
    <w:rsid w:val="00BF2844"/>
    <w:rsid w:val="00BF56B2"/>
    <w:rsid w:val="00BF7432"/>
    <w:rsid w:val="00C055AB"/>
    <w:rsid w:val="00C11F95"/>
    <w:rsid w:val="00C136DF"/>
    <w:rsid w:val="00C17501"/>
    <w:rsid w:val="00C23667"/>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43EE"/>
    <w:rsid w:val="00CB6135"/>
    <w:rsid w:val="00CB71DD"/>
    <w:rsid w:val="00CC5A63"/>
    <w:rsid w:val="00CC787C"/>
    <w:rsid w:val="00CD151C"/>
    <w:rsid w:val="00CD27D9"/>
    <w:rsid w:val="00CD4A56"/>
    <w:rsid w:val="00CF36C9"/>
    <w:rsid w:val="00CF523F"/>
    <w:rsid w:val="00D00EC4"/>
    <w:rsid w:val="00D02712"/>
    <w:rsid w:val="00D02D2E"/>
    <w:rsid w:val="00D166AC"/>
    <w:rsid w:val="00D200BF"/>
    <w:rsid w:val="00D217A2"/>
    <w:rsid w:val="00D316A5"/>
    <w:rsid w:val="00D36BA2"/>
    <w:rsid w:val="00D37CF4"/>
    <w:rsid w:val="00D4090E"/>
    <w:rsid w:val="00D4487C"/>
    <w:rsid w:val="00D47B61"/>
    <w:rsid w:val="00D51F02"/>
    <w:rsid w:val="00D63D33"/>
    <w:rsid w:val="00D73352"/>
    <w:rsid w:val="00D75195"/>
    <w:rsid w:val="00D75BA3"/>
    <w:rsid w:val="00D80B88"/>
    <w:rsid w:val="00D8669A"/>
    <w:rsid w:val="00D935C3"/>
    <w:rsid w:val="00DA0266"/>
    <w:rsid w:val="00DA477E"/>
    <w:rsid w:val="00DB01DB"/>
    <w:rsid w:val="00DB1EE9"/>
    <w:rsid w:val="00DB2E75"/>
    <w:rsid w:val="00DB4BB0"/>
    <w:rsid w:val="00DB6B0D"/>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261EB"/>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3470"/>
    <w:rsid w:val="00E960D8"/>
    <w:rsid w:val="00EA06E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468DC"/>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C2418"/>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12F2"/>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 w:type="character" w:styleId="NichtaufgelsteErwhnung">
    <w:name w:val="Unresolved Mention"/>
    <w:basedOn w:val="Absatz-Standardschriftart"/>
    <w:uiPriority w:val="99"/>
    <w:semiHidden/>
    <w:unhideWhenUsed/>
    <w:rsid w:val="000C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48897086">
      <w:bodyDiv w:val="1"/>
      <w:marLeft w:val="0"/>
      <w:marRight w:val="0"/>
      <w:marTop w:val="0"/>
      <w:marBottom w:val="0"/>
      <w:divBdr>
        <w:top w:val="none" w:sz="0" w:space="0" w:color="auto"/>
        <w:left w:val="none" w:sz="0" w:space="0" w:color="auto"/>
        <w:bottom w:val="none" w:sz="0" w:space="0" w:color="auto"/>
        <w:right w:val="none" w:sz="0" w:space="0" w:color="auto"/>
      </w:divBdr>
      <w:divsChild>
        <w:div w:id="1876843769">
          <w:marLeft w:val="274"/>
          <w:marRight w:val="0"/>
          <w:marTop w:val="0"/>
          <w:marBottom w:val="0"/>
          <w:divBdr>
            <w:top w:val="none" w:sz="0" w:space="0" w:color="auto"/>
            <w:left w:val="none" w:sz="0" w:space="0" w:color="auto"/>
            <w:bottom w:val="none" w:sz="0" w:space="0" w:color="auto"/>
            <w:right w:val="none" w:sz="0" w:space="0" w:color="auto"/>
          </w:divBdr>
        </w:div>
        <w:div w:id="1558972916">
          <w:marLeft w:val="274"/>
          <w:marRight w:val="0"/>
          <w:marTop w:val="0"/>
          <w:marBottom w:val="0"/>
          <w:divBdr>
            <w:top w:val="none" w:sz="0" w:space="0" w:color="auto"/>
            <w:left w:val="none" w:sz="0" w:space="0" w:color="auto"/>
            <w:bottom w:val="none" w:sz="0" w:space="0" w:color="auto"/>
            <w:right w:val="none" w:sz="0" w:space="0" w:color="auto"/>
          </w:divBdr>
        </w:div>
        <w:div w:id="180248424">
          <w:marLeft w:val="274"/>
          <w:marRight w:val="0"/>
          <w:marTop w:val="0"/>
          <w:marBottom w:val="0"/>
          <w:divBdr>
            <w:top w:val="none" w:sz="0" w:space="0" w:color="auto"/>
            <w:left w:val="none" w:sz="0" w:space="0" w:color="auto"/>
            <w:bottom w:val="none" w:sz="0" w:space="0" w:color="auto"/>
            <w:right w:val="none" w:sz="0" w:space="0" w:color="auto"/>
          </w:divBdr>
        </w:div>
        <w:div w:id="1759137318">
          <w:marLeft w:val="274"/>
          <w:marRight w:val="0"/>
          <w:marTop w:val="0"/>
          <w:marBottom w:val="0"/>
          <w:divBdr>
            <w:top w:val="none" w:sz="0" w:space="0" w:color="auto"/>
            <w:left w:val="none" w:sz="0" w:space="0" w:color="auto"/>
            <w:bottom w:val="none" w:sz="0" w:space="0" w:color="auto"/>
            <w:right w:val="none" w:sz="0" w:space="0" w:color="auto"/>
          </w:divBdr>
        </w:div>
        <w:div w:id="133304201">
          <w:marLeft w:val="274"/>
          <w:marRight w:val="0"/>
          <w:marTop w:val="0"/>
          <w:marBottom w:val="0"/>
          <w:divBdr>
            <w:top w:val="none" w:sz="0" w:space="0" w:color="auto"/>
            <w:left w:val="none" w:sz="0" w:space="0" w:color="auto"/>
            <w:bottom w:val="none" w:sz="0" w:space="0" w:color="auto"/>
            <w:right w:val="none" w:sz="0" w:space="0" w:color="auto"/>
          </w:divBdr>
        </w:div>
        <w:div w:id="1297368297">
          <w:marLeft w:val="274"/>
          <w:marRight w:val="0"/>
          <w:marTop w:val="0"/>
          <w:marBottom w:val="0"/>
          <w:divBdr>
            <w:top w:val="none" w:sz="0" w:space="0" w:color="auto"/>
            <w:left w:val="none" w:sz="0" w:space="0" w:color="auto"/>
            <w:bottom w:val="none" w:sz="0" w:space="0" w:color="auto"/>
            <w:right w:val="none" w:sz="0" w:space="0" w:color="auto"/>
          </w:divBdr>
        </w:div>
        <w:div w:id="472908386">
          <w:marLeft w:val="274"/>
          <w:marRight w:val="158"/>
          <w:marTop w:val="0"/>
          <w:marBottom w:val="0"/>
          <w:divBdr>
            <w:top w:val="none" w:sz="0" w:space="0" w:color="auto"/>
            <w:left w:val="none" w:sz="0" w:space="0" w:color="auto"/>
            <w:bottom w:val="none" w:sz="0" w:space="0" w:color="auto"/>
            <w:right w:val="none" w:sz="0" w:space="0" w:color="auto"/>
          </w:divBdr>
        </w:div>
        <w:div w:id="571547226">
          <w:marLeft w:val="274"/>
          <w:marRight w:val="158"/>
          <w:marTop w:val="0"/>
          <w:marBottom w:val="0"/>
          <w:divBdr>
            <w:top w:val="none" w:sz="0" w:space="0" w:color="auto"/>
            <w:left w:val="none" w:sz="0" w:space="0" w:color="auto"/>
            <w:bottom w:val="none" w:sz="0" w:space="0" w:color="auto"/>
            <w:right w:val="none" w:sz="0" w:space="0" w:color="auto"/>
          </w:divBdr>
        </w:div>
        <w:div w:id="463624936">
          <w:marLeft w:val="274"/>
          <w:marRight w:val="158"/>
          <w:marTop w:val="0"/>
          <w:marBottom w:val="0"/>
          <w:divBdr>
            <w:top w:val="none" w:sz="0" w:space="0" w:color="auto"/>
            <w:left w:val="none" w:sz="0" w:space="0" w:color="auto"/>
            <w:bottom w:val="none" w:sz="0" w:space="0" w:color="auto"/>
            <w:right w:val="none" w:sz="0" w:space="0" w:color="auto"/>
          </w:divBdr>
        </w:div>
        <w:div w:id="222713480">
          <w:marLeft w:val="274"/>
          <w:marRight w:val="158"/>
          <w:marTop w:val="0"/>
          <w:marBottom w:val="0"/>
          <w:divBdr>
            <w:top w:val="none" w:sz="0" w:space="0" w:color="auto"/>
            <w:left w:val="none" w:sz="0" w:space="0" w:color="auto"/>
            <w:bottom w:val="none" w:sz="0" w:space="0" w:color="auto"/>
            <w:right w:val="none" w:sz="0" w:space="0" w:color="auto"/>
          </w:divBdr>
        </w:div>
        <w:div w:id="1217745719">
          <w:marLeft w:val="274"/>
          <w:marRight w:val="158"/>
          <w:marTop w:val="0"/>
          <w:marBottom w:val="0"/>
          <w:divBdr>
            <w:top w:val="none" w:sz="0" w:space="0" w:color="auto"/>
            <w:left w:val="none" w:sz="0" w:space="0" w:color="auto"/>
            <w:bottom w:val="none" w:sz="0" w:space="0" w:color="auto"/>
            <w:right w:val="none" w:sz="0" w:space="0" w:color="auto"/>
          </w:divBdr>
        </w:div>
        <w:div w:id="810288564">
          <w:marLeft w:val="274"/>
          <w:marRight w:val="158"/>
          <w:marTop w:val="0"/>
          <w:marBottom w:val="0"/>
          <w:divBdr>
            <w:top w:val="none" w:sz="0" w:space="0" w:color="auto"/>
            <w:left w:val="none" w:sz="0" w:space="0" w:color="auto"/>
            <w:bottom w:val="none" w:sz="0" w:space="0" w:color="auto"/>
            <w:right w:val="none" w:sz="0" w:space="0" w:color="auto"/>
          </w:divBdr>
        </w:div>
        <w:div w:id="1507089238">
          <w:marLeft w:val="446"/>
          <w:marRight w:val="0"/>
          <w:marTop w:val="0"/>
          <w:marBottom w:val="0"/>
          <w:divBdr>
            <w:top w:val="none" w:sz="0" w:space="0" w:color="auto"/>
            <w:left w:val="none" w:sz="0" w:space="0" w:color="auto"/>
            <w:bottom w:val="none" w:sz="0" w:space="0" w:color="auto"/>
            <w:right w:val="none" w:sz="0" w:space="0" w:color="auto"/>
          </w:divBdr>
        </w:div>
        <w:div w:id="317657696">
          <w:marLeft w:val="446"/>
          <w:marRight w:val="0"/>
          <w:marTop w:val="0"/>
          <w:marBottom w:val="0"/>
          <w:divBdr>
            <w:top w:val="none" w:sz="0" w:space="0" w:color="auto"/>
            <w:left w:val="none" w:sz="0" w:space="0" w:color="auto"/>
            <w:bottom w:val="none" w:sz="0" w:space="0" w:color="auto"/>
            <w:right w:val="none" w:sz="0" w:space="0" w:color="auto"/>
          </w:divBdr>
        </w:div>
        <w:div w:id="309557626">
          <w:marLeft w:val="446"/>
          <w:marRight w:val="0"/>
          <w:marTop w:val="0"/>
          <w:marBottom w:val="0"/>
          <w:divBdr>
            <w:top w:val="none" w:sz="0" w:space="0" w:color="auto"/>
            <w:left w:val="none" w:sz="0" w:space="0" w:color="auto"/>
            <w:bottom w:val="none" w:sz="0" w:space="0" w:color="auto"/>
            <w:right w:val="none" w:sz="0" w:space="0" w:color="auto"/>
          </w:divBdr>
        </w:div>
        <w:div w:id="582492814">
          <w:marLeft w:val="446"/>
          <w:marRight w:val="0"/>
          <w:marTop w:val="0"/>
          <w:marBottom w:val="0"/>
          <w:divBdr>
            <w:top w:val="none" w:sz="0" w:space="0" w:color="auto"/>
            <w:left w:val="none" w:sz="0" w:space="0" w:color="auto"/>
            <w:bottom w:val="none" w:sz="0" w:space="0" w:color="auto"/>
            <w:right w:val="none" w:sz="0" w:space="0" w:color="auto"/>
          </w:divBdr>
        </w:div>
        <w:div w:id="1256356509">
          <w:marLeft w:val="446"/>
          <w:marRight w:val="0"/>
          <w:marTop w:val="0"/>
          <w:marBottom w:val="0"/>
          <w:divBdr>
            <w:top w:val="none" w:sz="0" w:space="0" w:color="auto"/>
            <w:left w:val="none" w:sz="0" w:space="0" w:color="auto"/>
            <w:bottom w:val="none" w:sz="0" w:space="0" w:color="auto"/>
            <w:right w:val="none" w:sz="0" w:space="0" w:color="auto"/>
          </w:divBdr>
        </w:div>
        <w:div w:id="121922502">
          <w:marLeft w:val="446"/>
          <w:marRight w:val="0"/>
          <w:marTop w:val="0"/>
          <w:marBottom w:val="0"/>
          <w:divBdr>
            <w:top w:val="none" w:sz="0" w:space="0" w:color="auto"/>
            <w:left w:val="none" w:sz="0" w:space="0" w:color="auto"/>
            <w:bottom w:val="none" w:sz="0" w:space="0" w:color="auto"/>
            <w:right w:val="none" w:sz="0" w:space="0" w:color="auto"/>
          </w:divBdr>
        </w:div>
        <w:div w:id="920062329">
          <w:marLeft w:val="446"/>
          <w:marRight w:val="0"/>
          <w:marTop w:val="0"/>
          <w:marBottom w:val="0"/>
          <w:divBdr>
            <w:top w:val="none" w:sz="0" w:space="0" w:color="auto"/>
            <w:left w:val="none" w:sz="0" w:space="0" w:color="auto"/>
            <w:bottom w:val="none" w:sz="0" w:space="0" w:color="auto"/>
            <w:right w:val="none" w:sz="0" w:space="0" w:color="auto"/>
          </w:divBdr>
        </w:div>
        <w:div w:id="674265645">
          <w:marLeft w:val="274"/>
          <w:marRight w:val="0"/>
          <w:marTop w:val="0"/>
          <w:marBottom w:val="0"/>
          <w:divBdr>
            <w:top w:val="none" w:sz="0" w:space="0" w:color="auto"/>
            <w:left w:val="none" w:sz="0" w:space="0" w:color="auto"/>
            <w:bottom w:val="none" w:sz="0" w:space="0" w:color="auto"/>
            <w:right w:val="none" w:sz="0" w:space="0" w:color="auto"/>
          </w:divBdr>
        </w:div>
        <w:div w:id="630012083">
          <w:marLeft w:val="274"/>
          <w:marRight w:val="0"/>
          <w:marTop w:val="0"/>
          <w:marBottom w:val="0"/>
          <w:divBdr>
            <w:top w:val="none" w:sz="0" w:space="0" w:color="auto"/>
            <w:left w:val="none" w:sz="0" w:space="0" w:color="auto"/>
            <w:bottom w:val="none" w:sz="0" w:space="0" w:color="auto"/>
            <w:right w:val="none" w:sz="0" w:space="0" w:color="auto"/>
          </w:divBdr>
        </w:div>
        <w:div w:id="875391485">
          <w:marLeft w:val="274"/>
          <w:marRight w:val="0"/>
          <w:marTop w:val="0"/>
          <w:marBottom w:val="0"/>
          <w:divBdr>
            <w:top w:val="none" w:sz="0" w:space="0" w:color="auto"/>
            <w:left w:val="none" w:sz="0" w:space="0" w:color="auto"/>
            <w:bottom w:val="none" w:sz="0" w:space="0" w:color="auto"/>
            <w:right w:val="none" w:sz="0" w:space="0" w:color="auto"/>
          </w:divBdr>
        </w:div>
        <w:div w:id="1889876460">
          <w:marLeft w:val="274"/>
          <w:marRight w:val="0"/>
          <w:marTop w:val="0"/>
          <w:marBottom w:val="0"/>
          <w:divBdr>
            <w:top w:val="none" w:sz="0" w:space="0" w:color="auto"/>
            <w:left w:val="none" w:sz="0" w:space="0" w:color="auto"/>
            <w:bottom w:val="none" w:sz="0" w:space="0" w:color="auto"/>
            <w:right w:val="none" w:sz="0" w:space="0" w:color="auto"/>
          </w:divBdr>
        </w:div>
      </w:divsChild>
    </w:div>
    <w:div w:id="721640874">
      <w:bodyDiv w:val="1"/>
      <w:marLeft w:val="0"/>
      <w:marRight w:val="0"/>
      <w:marTop w:val="0"/>
      <w:marBottom w:val="0"/>
      <w:divBdr>
        <w:top w:val="none" w:sz="0" w:space="0" w:color="auto"/>
        <w:left w:val="none" w:sz="0" w:space="0" w:color="auto"/>
        <w:bottom w:val="none" w:sz="0" w:space="0" w:color="auto"/>
        <w:right w:val="none" w:sz="0" w:space="0" w:color="auto"/>
      </w:divBdr>
    </w:div>
    <w:div w:id="883638189">
      <w:bodyDiv w:val="1"/>
      <w:marLeft w:val="0"/>
      <w:marRight w:val="0"/>
      <w:marTop w:val="0"/>
      <w:marBottom w:val="0"/>
      <w:divBdr>
        <w:top w:val="none" w:sz="0" w:space="0" w:color="auto"/>
        <w:left w:val="none" w:sz="0" w:space="0" w:color="auto"/>
        <w:bottom w:val="none" w:sz="0" w:space="0" w:color="auto"/>
        <w:right w:val="none" w:sz="0" w:space="0" w:color="auto"/>
      </w:divBdr>
    </w:div>
    <w:div w:id="1099915058">
      <w:bodyDiv w:val="1"/>
      <w:marLeft w:val="0"/>
      <w:marRight w:val="0"/>
      <w:marTop w:val="0"/>
      <w:marBottom w:val="0"/>
      <w:divBdr>
        <w:top w:val="none" w:sz="0" w:space="0" w:color="auto"/>
        <w:left w:val="none" w:sz="0" w:space="0" w:color="auto"/>
        <w:bottom w:val="none" w:sz="0" w:space="0" w:color="auto"/>
        <w:right w:val="none" w:sz="0" w:space="0" w:color="auto"/>
      </w:divBdr>
    </w:div>
    <w:div w:id="1272395176">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1148</Words>
  <Characters>7236</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8368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9</cp:revision>
  <cp:lastPrinted>2021-10-28T15:19:00Z</cp:lastPrinted>
  <dcterms:created xsi:type="dcterms:W3CDTF">2025-03-20T12:25:00Z</dcterms:created>
  <dcterms:modified xsi:type="dcterms:W3CDTF">2025-03-28T12:42:00Z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