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7714EC5F" w:rsidR="00A46F1E" w:rsidRDefault="003C60DB" w:rsidP="00881E44">
      <w:pPr>
        <w:pStyle w:val="Subhead"/>
        <w:rPr>
          <w:bCs/>
          <w:iCs w:val="0"/>
          <w:spacing w:val="-10"/>
          <w:kern w:val="28"/>
          <w:sz w:val="40"/>
          <w:szCs w:val="40"/>
        </w:rPr>
        <w:bidi w:val="0"/>
      </w:pPr>
      <w:r>
        <w:rPr>
          <w:kern w:val="28"/>
          <w:sz w:val="40"/>
          <w:szCs w:val="40"/>
          <w:lang w:val="es-es"/>
          <w:b w:val="1"/>
          <w:bCs w:val="1"/>
          <w:i w:val="0"/>
          <w:iCs w:val="0"/>
          <w:u w:val="none"/>
          <w:vertAlign w:val="baseline"/>
          <w:rtl w:val="0"/>
        </w:rPr>
        <w:t xml:space="preserve">Streumaster | Nueva generación de esparcidores de aglutinante </w:t>
      </w:r>
    </w:p>
    <w:p w14:paraId="01347D8C" w14:textId="670004A5" w:rsidR="00385E48" w:rsidRDefault="00515EB1" w:rsidP="00385E48">
      <w:pPr>
        <w:pStyle w:val="Subhead"/>
        <w:spacing w:after="0"/>
        <w:bidi w:val="0"/>
      </w:pPr>
      <w:r>
        <w:rPr>
          <w:lang w:val="es-es"/>
          <w:b w:val="1"/>
          <w:bCs w:val="1"/>
          <w:i w:val="0"/>
          <w:iCs w:val="0"/>
          <w:u w:val="none"/>
          <w:vertAlign w:val="baseline"/>
          <w:rtl w:val="0"/>
        </w:rPr>
        <w:t xml:space="preserve">Los nuevos modelos de las series MC y TC marcan la pauta en cuanto a llenado, transporte de material, precisión de esparcido y facilidad de uso.</w:t>
      </w:r>
    </w:p>
    <w:p w14:paraId="78BCE1EF" w14:textId="77777777" w:rsidR="00385E48" w:rsidRPr="00385E48" w:rsidRDefault="00385E48" w:rsidP="00385E48">
      <w:pPr>
        <w:pStyle w:val="Teaser"/>
      </w:pPr>
    </w:p>
    <w:p w14:paraId="193790FB" w14:textId="26250C5B" w:rsidR="00A46F1E" w:rsidRPr="003C60DB" w:rsidRDefault="00385E48" w:rsidP="00385E48">
      <w:pPr>
        <w:pStyle w:val="Teaser"/>
        <w:bidi w:val="0"/>
      </w:pPr>
      <w:r>
        <w:rPr>
          <w:lang w:val="es-es"/>
          <w:b w:val="1"/>
          <w:bCs w:val="1"/>
          <w:i w:val="0"/>
          <w:iCs w:val="0"/>
          <w:u w:val="none"/>
          <w:vertAlign w:val="baseline"/>
          <w:rtl w:val="0"/>
        </w:rPr>
        <w:t xml:space="preserve">El dispositivo de llenado de alta velocidad por ambos lados, las celdas dosificadoras autolimpiantes y el nuevo panel de mando permiten conseguir un potente resultado de esparcido de máxima precisión con los esparcidores de aglutinante, concebidos a modo de remolque o para la instalación sobre un vehículo portante.</w:t>
      </w:r>
    </w:p>
    <w:p w14:paraId="02698BFB" w14:textId="06BF1725" w:rsidR="003C60DB" w:rsidRPr="00391639" w:rsidRDefault="003C60DB" w:rsidP="003C60DB">
      <w:pPr>
        <w:pStyle w:val="Text"/>
        <w:spacing w:line="240" w:lineRule="auto"/>
        <w:rPr>
          <w:b/>
          <w:bCs/>
        </w:rPr>
        <w:bidi w:val="0"/>
      </w:pPr>
      <w:r>
        <w:rPr>
          <w:lang w:val="es-es"/>
          <w:b w:val="1"/>
          <w:bCs w:val="1"/>
          <w:i w:val="0"/>
          <w:iCs w:val="0"/>
          <w:u w:val="none"/>
          <w:vertAlign w:val="baseline"/>
          <w:rtl w:val="0"/>
        </w:rPr>
        <w:t xml:space="preserve">Llenado rápido y transporte eficiente del material</w:t>
      </w:r>
    </w:p>
    <w:p w14:paraId="77F8AD04" w14:textId="425BF9F2" w:rsidR="003C60DB" w:rsidRDefault="003C60DB" w:rsidP="003C60DB">
      <w:pPr>
        <w:jc w:val="both"/>
        <w:rPr>
          <w:bCs/>
          <w:iCs/>
          <w:sz w:val="22"/>
        </w:rPr>
        <w:bidi w:val="0"/>
      </w:pPr>
      <w:r>
        <w:rPr>
          <w:sz w:val="22"/>
          <w:lang w:val="es-es"/>
          <w:b w:val="0"/>
          <w:bCs w:val="0"/>
          <w:i w:val="0"/>
          <w:iCs w:val="0"/>
          <w:u w:val="none"/>
          <w:vertAlign w:val="baseline"/>
          <w:rtl w:val="0"/>
        </w:rPr>
        <w:t xml:space="preserve">Los dos tubos de llenado de grandes dimensiones van montados de forma estándar en la parte trasera de la máquina y les permiten así a los convoyes de silo aproximarse y llenar también en obras con poco espacio o mientras el tráfico sigue su curso. Así, el proceso de llenado de los nuevos esparcidores de aglutinante puede realizarse cómodamente desde ambos lados. En este sentido, el dispositivo de llenado neumático optimizado de alta velocidad y la nueva geometría de depósito permiten un llenado rápido y una distribución uniforme del material dentro del depósito. De este modo, los esparcidores de aglutinante pueden llenarse con hasta 2 toneladas de ligante por minuto y por conexión. Por otra parte, el llenado se puede realizar sin polvo gracias a un sistema de filtro automático opcional. El accionamiento de la cadena transportadora OptiPower integrado de serie con control automático de la carga aumenta la fuerza de tracción de la cadena transportadora en caso necesario. </w:t>
      </w:r>
    </w:p>
    <w:p w14:paraId="1A127249" w14:textId="77777777" w:rsidR="003C60DB" w:rsidRDefault="003C60DB" w:rsidP="003C60DB">
      <w:pPr>
        <w:jc w:val="both"/>
        <w:rPr>
          <w:bCs/>
          <w:iCs/>
          <w:sz w:val="22"/>
        </w:rPr>
      </w:pPr>
    </w:p>
    <w:p w14:paraId="50B70980" w14:textId="77777777" w:rsidR="003C60DB" w:rsidRPr="00CE027F" w:rsidRDefault="003C60DB" w:rsidP="003C60DB">
      <w:pPr>
        <w:jc w:val="both"/>
        <w:rPr>
          <w:b/>
          <w:iCs/>
          <w:sz w:val="22"/>
        </w:rPr>
        <w:bidi w:val="0"/>
      </w:pPr>
      <w:r>
        <w:rPr>
          <w:sz w:val="22"/>
          <w:lang w:val="es-es"/>
          <w:b w:val="1"/>
          <w:bCs w:val="1"/>
          <w:i w:val="0"/>
          <w:iCs w:val="0"/>
          <w:u w:val="none"/>
          <w:vertAlign w:val="baseline"/>
          <w:rtl w:val="0"/>
        </w:rPr>
        <w:t xml:space="preserve">Resultado de esparcido exacto </w:t>
      </w:r>
    </w:p>
    <w:p w14:paraId="23F9ED6B" w14:textId="7946C2E4" w:rsidR="003C60DB" w:rsidRDefault="003C60DB" w:rsidP="003C60DB">
      <w:pPr>
        <w:jc w:val="both"/>
        <w:rPr>
          <w:bCs/>
          <w:iCs/>
          <w:sz w:val="22"/>
        </w:rPr>
        <w:bidi w:val="0"/>
      </w:pPr>
      <w:r>
        <w:rPr>
          <w:sz w:val="22"/>
          <w:lang w:val="es-es"/>
          <w:b w:val="0"/>
          <w:bCs w:val="0"/>
          <w:i w:val="0"/>
          <w:iCs w:val="0"/>
          <w:u w:val="none"/>
          <w:vertAlign w:val="baseline"/>
          <w:rtl w:val="0"/>
        </w:rPr>
        <w:t xml:space="preserve">La dosificación volumétrica y totalmente automática de la cantidad de esparcido garantiza un esparcido fiable del ligante independientemente de la velocidad de desplazamiento. El sistema de pesaje opcional WeighTronic garantiza un esparcido preciso y sin errores. Gracias a la comparación continua entre las cantidades de esparcido real y nominal, la cantidad de esparcido se reajusta automáticamente en caso de desviación. Así se descarta prácticamente la posibilidad de un manejo erróneo. Otro aspecto destacado de los nuevos esparcidores de aglutinante son las celdas dosificadoras autolimpiantes con diseño de rueda celular. Gracias a una carcasa especial con zonas de presión y descarga y a las células flexibles, las celdas dosificadoras se limpian por sí mismas. Esto garantiza un proceso constante y de alto rendimiento con una alta precisión de esparcido. La cantidad de esparcido también puede ajustarse individualmente para cada una de las tres anchuras parciales.</w:t>
      </w:r>
    </w:p>
    <w:p w14:paraId="4615DABE" w14:textId="77777777" w:rsidR="003C60DB" w:rsidRDefault="003C60DB" w:rsidP="003C60DB">
      <w:pPr>
        <w:jc w:val="both"/>
        <w:rPr>
          <w:bCs/>
          <w:iCs/>
          <w:sz w:val="22"/>
        </w:rPr>
      </w:pPr>
    </w:p>
    <w:p w14:paraId="4F757FB1" w14:textId="77777777" w:rsidR="003C60DB" w:rsidRPr="007C7BC4" w:rsidRDefault="003C60DB" w:rsidP="003C60DB">
      <w:pPr>
        <w:jc w:val="both"/>
        <w:rPr>
          <w:b/>
          <w:iCs/>
          <w:sz w:val="22"/>
        </w:rPr>
        <w:bidi w:val="0"/>
      </w:pPr>
      <w:r>
        <w:rPr>
          <w:sz w:val="22"/>
          <w:lang w:val="es-es"/>
          <w:b w:val="1"/>
          <w:bCs w:val="1"/>
          <w:i w:val="0"/>
          <w:iCs w:val="0"/>
          <w:u w:val="none"/>
          <w:vertAlign w:val="baseline"/>
          <w:rtl w:val="0"/>
        </w:rPr>
        <w:t xml:space="preserve">Manejo sencillo y concepto de mando innovador</w:t>
      </w:r>
    </w:p>
    <w:p w14:paraId="69B08CE1" w14:textId="3D35B7D1" w:rsidR="003C60DB" w:rsidRDefault="003C60DB" w:rsidP="003C60DB">
      <w:pPr>
        <w:jc w:val="both"/>
        <w:rPr>
          <w:bCs/>
          <w:iCs/>
          <w:sz w:val="22"/>
        </w:rPr>
        <w:bidi w:val="0"/>
      </w:pPr>
      <w:r>
        <w:rPr>
          <w:sz w:val="22"/>
          <w:lang w:val="es-es"/>
          <w:b w:val="0"/>
          <w:bCs w:val="0"/>
          <w:i w:val="0"/>
          <w:iCs w:val="0"/>
          <w:u w:val="none"/>
          <w:vertAlign w:val="baseline"/>
          <w:rtl w:val="0"/>
        </w:rPr>
        <w:t xml:space="preserve">Con el nuevo panel de mando multifuncional, Streumaster ha reunido en una sola unidad todos los elementos de mando. Esto proporciona en todo momento una visión general óptima de todas las funciones de la máquina y ofrece una interfaz de usuario personalizable con función de pantalla dividida cuando se utiliza el sistema de cámara/monitor. Los valores de trabajo y las teclas de función se pueden establecer de forma individualizada en la interfaz de usuario de la pantalla táctil de 12 pulgadas. </w:t>
      </w:r>
    </w:p>
    <w:p w14:paraId="2895F3BE" w14:textId="593B7963" w:rsidR="00385E48" w:rsidRDefault="00385E48" w:rsidP="003C60DB">
      <w:pPr>
        <w:jc w:val="both"/>
        <w:rPr>
          <w:bCs/>
          <w:iCs/>
          <w:sz w:val="22"/>
        </w:rPr>
      </w:pPr>
    </w:p>
    <w:p w14:paraId="59ACB61C" w14:textId="77777777" w:rsidR="000F3928" w:rsidRDefault="000F3928" w:rsidP="003C60DB">
      <w:pPr>
        <w:jc w:val="both"/>
        <w:rPr>
          <w:bCs/>
          <w:iCs/>
          <w:sz w:val="22"/>
        </w:rPr>
      </w:pPr>
    </w:p>
    <w:p w14:paraId="35197CF0" w14:textId="77777777" w:rsidR="003C60DB" w:rsidRDefault="003C60DB" w:rsidP="003C60DB">
      <w:pPr>
        <w:jc w:val="both"/>
        <w:rPr>
          <w:bCs/>
          <w:iCs/>
          <w:color w:val="FF0000"/>
          <w:sz w:val="22"/>
        </w:rPr>
      </w:pPr>
    </w:p>
    <w:p w14:paraId="2DDADDED" w14:textId="77777777" w:rsidR="003C60DB" w:rsidRPr="00EC0525" w:rsidRDefault="003C60DB" w:rsidP="003C60DB">
      <w:pPr>
        <w:jc w:val="both"/>
        <w:rPr>
          <w:b/>
          <w:bCs/>
          <w:iCs/>
          <w:sz w:val="22"/>
        </w:rPr>
        <w:bidi w:val="0"/>
      </w:pPr>
      <w:r>
        <w:rPr>
          <w:sz w:val="22"/>
          <w:lang w:val="es-es"/>
          <w:b w:val="1"/>
          <w:bCs w:val="1"/>
          <w:i w:val="0"/>
          <w:iCs w:val="0"/>
          <w:u w:val="none"/>
          <w:vertAlign w:val="baseline"/>
          <w:rtl w:val="0"/>
        </w:rPr>
        <w:t xml:space="preserve">Determinación precisa de la capacidad de esparcido</w:t>
      </w:r>
    </w:p>
    <w:p w14:paraId="4080A5AA" w14:textId="2FA5B24B" w:rsidR="003C60DB" w:rsidRPr="00EC0525" w:rsidRDefault="003C60DB" w:rsidP="003C60DB">
      <w:pPr>
        <w:jc w:val="both"/>
        <w:rPr>
          <w:bCs/>
          <w:iCs/>
          <w:sz w:val="22"/>
        </w:rPr>
        <w:bidi w:val="0"/>
      </w:pPr>
      <w:r>
        <w:rPr>
          <w:sz w:val="22"/>
          <w:lang w:val="es-es"/>
          <w:b w:val="0"/>
          <w:bCs w:val="0"/>
          <w:i w:val="0"/>
          <w:iCs w:val="0"/>
          <w:u w:val="none"/>
          <w:vertAlign w:val="baseline"/>
          <w:rtl w:val="0"/>
        </w:rPr>
        <w:t xml:space="preserve">La nueva generación de esparcidores de aglutinante puede equiparse con el Wirtgen Performance Tracker (WPT). Este equilibra todos los parámetros de obra relevantes específicos de la ubicación para ofrecer una base de datos integral para el análisis de la obra y la documentación.</w:t>
      </w:r>
    </w:p>
    <w:p w14:paraId="5FA565FF" w14:textId="77777777" w:rsidR="00385E48" w:rsidRDefault="00385E48" w:rsidP="00E15EBE">
      <w:pPr>
        <w:pStyle w:val="Fotos"/>
      </w:pPr>
    </w:p>
    <w:p w14:paraId="31412CCB" w14:textId="475D72A8" w:rsidR="00E15EBE" w:rsidRPr="00F211C7" w:rsidRDefault="00E15EBE" w:rsidP="00E15EBE">
      <w:pPr>
        <w:pStyle w:val="Fotos"/>
        <w:bidi w:val="0"/>
      </w:pPr>
      <w:r>
        <w:rPr>
          <w:lang w:val="es-es"/>
          <w:b w:val="1"/>
          <w:bCs w:val="1"/>
          <w:i w:val="0"/>
          <w:iCs w:val="0"/>
          <w:u w:val="none"/>
          <w:vertAlign w:val="baseline"/>
          <w:rtl w:val="0"/>
        </w:rPr>
        <w:t xml:space="preserve">Fotos:</w:t>
      </w:r>
    </w:p>
    <w:p w14:paraId="20879CE4" w14:textId="79D511C2" w:rsidR="002611FE" w:rsidRPr="00F211C7" w:rsidRDefault="00A46F1E" w:rsidP="002611FE">
      <w:pPr>
        <w:pStyle w:val="BUbold"/>
        <w:bidi w:val="0"/>
      </w:pPr>
      <w:r>
        <w:rPr>
          <w:noProof/>
          <w:lang w:val="es-es"/>
          <w:b w:val="0"/>
          <w:bCs w:val="0"/>
          <w:i w:val="0"/>
          <w:iCs w:val="0"/>
          <w:u w:val="none"/>
          <w:vertAlign w:val="baseline"/>
          <w:rtl w:val="0"/>
        </w:rPr>
        <w:drawing>
          <wp:inline distT="0" distB="0" distL="0" distR="0" wp14:anchorId="1B66E54E" wp14:editId="3D38EE9C">
            <wp:extent cx="2404800" cy="1350807"/>
            <wp:effectExtent l="0" t="0" r="0"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0807"/>
                    </a:xfrm>
                    <a:prstGeom prst="rect">
                      <a:avLst/>
                    </a:prstGeom>
                    <a:noFill/>
                    <a:ln>
                      <a:noFill/>
                    </a:ln>
                  </pic:spPr>
                </pic:pic>
              </a:graphicData>
            </a:graphic>
          </wp:inline>
        </w:drawing>
      </w:r>
      <w:r>
        <w:rPr>
          <w:lang w:val="es-es"/>
          <w:b w:val="0"/>
          <w:bCs w:val="0"/>
          <w:i w:val="0"/>
          <w:iCs w:val="0"/>
          <w:u w:val="none"/>
          <w:vertAlign w:val="baseline"/>
          <w:rtl w:val="0"/>
        </w:rPr>
        <w:br w:type="textWrapping"/>
      </w:r>
      <w:r>
        <w:rPr>
          <w:lang w:val="es-es"/>
          <w:b w:val="1"/>
          <w:bCs w:val="1"/>
          <w:i w:val="0"/>
          <w:iCs w:val="0"/>
          <w:u w:val="none"/>
          <w:vertAlign w:val="baseline"/>
          <w:rtl w:val="0"/>
        </w:rPr>
        <w:t xml:space="preserve">ST_SW112TC_00007_PR</w:t>
      </w:r>
    </w:p>
    <w:p w14:paraId="1F8A7162" w14:textId="39171E5E" w:rsidR="006C0C87" w:rsidRPr="00B21442" w:rsidRDefault="00B21442" w:rsidP="00C84D75">
      <w:pPr>
        <w:pStyle w:val="BUnormal"/>
        <w:bidi w:val="0"/>
      </w:pPr>
      <w:r>
        <w:rPr>
          <w:lang w:val="es-es"/>
          <w:b w:val="0"/>
          <w:bCs w:val="0"/>
          <w:i w:val="0"/>
          <w:iCs w:val="0"/>
          <w:u w:val="none"/>
          <w:vertAlign w:val="baseline"/>
          <w:rtl w:val="0"/>
        </w:rPr>
        <w:t xml:space="preserve">Los esparcidores de remolque arrastrados, como el Streumaster SW 112 TC, son adecuados para el esparcido preciso de los ligantes en aplicaciones de gran superficie, tanto en trabajos en carretera como todoterreno.</w:t>
      </w:r>
    </w:p>
    <w:p w14:paraId="47324A88" w14:textId="77777777" w:rsidR="002611FE" w:rsidRPr="00B21442" w:rsidRDefault="002611FE" w:rsidP="002611FE">
      <w:pPr>
        <w:pStyle w:val="BUnormal"/>
      </w:pPr>
    </w:p>
    <w:p w14:paraId="29E92010" w14:textId="60FF4CFA" w:rsidR="00BD25D1" w:rsidRPr="00F211C7" w:rsidRDefault="00BD25D1" w:rsidP="00BD25D1">
      <w:pPr>
        <w:pStyle w:val="BUbold"/>
        <w:bidi w:val="0"/>
      </w:pPr>
      <w:r>
        <w:rPr>
          <w:noProof/>
          <w:lang w:val="es-es"/>
          <w:b w:val="0"/>
          <w:bCs w:val="0"/>
          <w:i w:val="0"/>
          <w:iCs w:val="0"/>
          <w:u w:val="none"/>
          <w:vertAlign w:val="baseline"/>
          <w:rtl w:val="0"/>
        </w:rPr>
        <w:drawing>
          <wp:inline distT="0" distB="0" distL="0" distR="0" wp14:anchorId="7CBAC95B" wp14:editId="544E7585">
            <wp:extent cx="2226078" cy="1384991"/>
            <wp:effectExtent l="0" t="0" r="3175"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226078" cy="1384991"/>
                    </a:xfrm>
                    <a:prstGeom prst="rect">
                      <a:avLst/>
                    </a:prstGeom>
                    <a:noFill/>
                    <a:ln>
                      <a:noFill/>
                    </a:ln>
                  </pic:spPr>
                </pic:pic>
              </a:graphicData>
            </a:graphic>
          </wp:inline>
        </w:drawing>
      </w:r>
      <w:r>
        <w:rPr>
          <w:lang w:val="es-es"/>
          <w:b w:val="0"/>
          <w:bCs w:val="0"/>
          <w:i w:val="0"/>
          <w:iCs w:val="0"/>
          <w:u w:val="none"/>
          <w:vertAlign w:val="baseline"/>
          <w:rtl w:val="0"/>
        </w:rPr>
        <w:br w:type="textWrapping"/>
      </w:r>
      <w:r>
        <w:rPr>
          <w:lang w:val="es-es"/>
          <w:b w:val="1"/>
          <w:bCs w:val="1"/>
          <w:i w:val="0"/>
          <w:iCs w:val="0"/>
          <w:u w:val="none"/>
          <w:vertAlign w:val="baseline"/>
          <w:rtl w:val="0"/>
        </w:rPr>
        <w:t xml:space="preserve">ST_SW112TC_00008_PR</w:t>
      </w:r>
    </w:p>
    <w:p w14:paraId="170DB770" w14:textId="77777777" w:rsidR="00745F70" w:rsidRDefault="00B21442" w:rsidP="002611FE">
      <w:pPr>
        <w:pStyle w:val="BUnormal"/>
        <w:bidi w:val="0"/>
      </w:pPr>
      <w:r>
        <w:rPr>
          <w:lang w:val="es-es"/>
          <w:b w:val="0"/>
          <w:bCs w:val="0"/>
          <w:i w:val="0"/>
          <w:iCs w:val="0"/>
          <w:u w:val="none"/>
          <w:vertAlign w:val="baseline"/>
          <w:rtl w:val="0"/>
        </w:rPr>
        <w:t xml:space="preserve">El llenado a alta velocidad de los nuevos esparcidores de aglutinante Streumaster, rápido y posible por ambos lados, reduce el tiempo de inactividad y, por tanto, incrementa la productividad en la obra. </w:t>
      </w:r>
    </w:p>
    <w:p w14:paraId="6F7FC9EB" w14:textId="12BDD128" w:rsidR="00BD25D1" w:rsidRPr="00B21442" w:rsidRDefault="002611FE" w:rsidP="002611FE">
      <w:pPr>
        <w:pStyle w:val="BUnormal"/>
        <w:bidi w:val="0"/>
      </w:pPr>
      <w:r>
        <w:rPr>
          <w:lang w:val="es-es"/>
          <w:b w:val="0"/>
          <w:bCs w:val="0"/>
          <w:i w:val="0"/>
          <w:iCs w:val="0"/>
          <w:u w:val="none"/>
          <w:vertAlign w:val="baseline"/>
          <w:rtl w:val="0"/>
        </w:rPr>
        <w:br w:type="textWrapping"/>
      </w:r>
    </w:p>
    <w:p w14:paraId="04824B2F" w14:textId="1D2C88F5" w:rsidR="00F74540" w:rsidRPr="006C0C87" w:rsidRDefault="00E15EBE" w:rsidP="006C0C87">
      <w:pPr>
        <w:pStyle w:val="Note"/>
        <w:bidi w:val="0"/>
      </w:pPr>
      <w:r>
        <w:rPr>
          <w:lang w:val="es-es"/>
          <w:b w:val="0"/>
          <w:bCs w:val="0"/>
          <w:i w:val="1"/>
          <w:iCs w:val="1"/>
          <w:u w:val="none"/>
          <w:vertAlign w:val="baseline"/>
          <w:rtl w:val="0"/>
        </w:rPr>
        <w:t xml:space="preserve">Nota: </w:t>
      </w:r>
      <w:r>
        <w:rPr>
          <w:lang w:val="es-es"/>
          <w:b w:val="0"/>
          <w:bCs w:val="0"/>
          <w:i w:val="1"/>
          <w:iCs w:val="1"/>
          <w:u w:val="none"/>
          <w:vertAlign w:val="baseline"/>
          <w:rtl w:val="0"/>
        </w:rPr>
        <w:t xml:space="preserve">estas fotos sirven únicamente de vista previa. </w:t>
      </w:r>
      <w:r>
        <w:rPr>
          <w:lang w:val="es-es"/>
          <w:b w:val="0"/>
          <w:bCs w:val="0"/>
          <w:i w:val="1"/>
          <w:iCs w:val="1"/>
          <w:u w:val="none"/>
          <w:vertAlign w:val="baseline"/>
          <w:rtl w:val="0"/>
        </w:rPr>
        <w:t xml:space="preserve">Para la impresión en las publicaciones, utilice las fotos con una resolución de 300 dpi que podrá descargar de las páginas web de Wirtgen Group.</w:t>
      </w:r>
    </w:p>
    <w:p w14:paraId="1813B7CE" w14:textId="77777777" w:rsidR="00745F70" w:rsidRDefault="00745F70">
      <w:pPr>
        <w:rPr>
          <w:rFonts w:eastAsiaTheme="minorHAnsi" w:cstheme="minorBidi"/>
          <w:b/>
          <w:iCs/>
          <w:sz w:val="22"/>
          <w:szCs w:val="24"/>
        </w:rPr>
        <w:bidi w:val="0"/>
      </w:pPr>
      <w:r>
        <w:rPr>
          <w:lang w:val="es-es"/>
          <w:b w:val="0"/>
          <w:bCs w:val="0"/>
          <w:i w:val="0"/>
          <w:iCs w:val="0"/>
          <w:u w:val="none"/>
          <w:vertAlign w:val="baseline"/>
          <w:rtl w:val="0"/>
        </w:rPr>
        <w:br w:type="page"/>
      </w:r>
    </w:p>
    <w:p w14:paraId="55931FB8" w14:textId="0442F73E" w:rsidR="00E15EBE" w:rsidRDefault="00E15EBE" w:rsidP="00E15EBE">
      <w:pPr>
        <w:pStyle w:val="Absatzberschrift"/>
        <w:rPr>
          <w:iCs/>
        </w:rPr>
        <w:bidi w:val="0"/>
      </w:pPr>
      <w:r>
        <w:rPr>
          <w:lang w:val="es-es"/>
          <w:b w:val="1"/>
          <w:bCs w:val="1"/>
          <w:i w:val="0"/>
          <w:iCs w:val="0"/>
          <w:u w:val="none"/>
          <w:vertAlign w:val="baseline"/>
          <w:rtl w:val="0"/>
        </w:rPr>
        <w:t xml:space="preserve">Encontrará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bidi w:val="0"/>
      </w:pPr>
      <w:r>
        <w:rPr>
          <w:lang w:val="es-es"/>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val="es-es"/>
          <w:b w:val="0"/>
          <w:bCs w:val="0"/>
          <w:i w:val="0"/>
          <w:iCs w:val="0"/>
          <w:u w:val="none"/>
          <w:vertAlign w:val="baseline"/>
          <w:rtl w:val="0"/>
        </w:rPr>
        <w:t xml:space="preserve">Public Relations</w:t>
      </w:r>
    </w:p>
    <w:p w14:paraId="11D0C008" w14:textId="77777777" w:rsidR="00E15EBE" w:rsidRDefault="00E15EBE" w:rsidP="00E15EBE">
      <w:pPr>
        <w:pStyle w:val="Fuzeile1"/>
        <w:bidi w:val="0"/>
      </w:pPr>
      <w:r>
        <w:rPr>
          <w:lang w:val="es-es"/>
          <w:b w:val="0"/>
          <w:bCs w:val="0"/>
          <w:i w:val="0"/>
          <w:iCs w:val="0"/>
          <w:u w:val="none"/>
          <w:vertAlign w:val="baseline"/>
          <w:rtl w:val="0"/>
        </w:rPr>
        <w:t xml:space="preserve">Reinhard-Wirtgen-Straße 2</w:t>
      </w:r>
    </w:p>
    <w:p w14:paraId="1063A82F" w14:textId="77777777" w:rsidR="00E15EBE" w:rsidRDefault="00E15EBE" w:rsidP="00E15EBE">
      <w:pPr>
        <w:pStyle w:val="Fuzeile1"/>
        <w:bidi w:val="0"/>
      </w:pPr>
      <w:r>
        <w:rPr>
          <w:lang w:val="es-es"/>
          <w:b w:val="0"/>
          <w:bCs w:val="0"/>
          <w:i w:val="0"/>
          <w:iCs w:val="0"/>
          <w:u w:val="none"/>
          <w:vertAlign w:val="baseline"/>
          <w:rtl w:val="0"/>
        </w:rPr>
        <w:t xml:space="preserve">53578 Windhagen</w:t>
      </w:r>
    </w:p>
    <w:p w14:paraId="5A37CC2B" w14:textId="77777777" w:rsidR="00E15EBE" w:rsidRDefault="00E15EBE" w:rsidP="00E15EBE">
      <w:pPr>
        <w:pStyle w:val="Fuzeile1"/>
        <w:bidi w:val="0"/>
      </w:pPr>
      <w:r>
        <w:rPr>
          <w:lang w:val="es-es"/>
          <w:b w:val="0"/>
          <w:bCs w:val="0"/>
          <w:i w:val="0"/>
          <w:iCs w:val="0"/>
          <w:u w:val="none"/>
          <w:vertAlign w:val="baseline"/>
          <w:rtl w:val="0"/>
        </w:rPr>
        <w:t xml:space="preserve">Alemania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bidi w:val="0"/>
      </w:pPr>
      <w:r>
        <w:rPr>
          <w:lang w:val="es-es"/>
          <w:b w:val="0"/>
          <w:bCs w:val="0"/>
          <w:i w:val="0"/>
          <w:iCs w:val="0"/>
          <w:u w:val="none"/>
          <w:vertAlign w:val="baseline"/>
          <w:rtl w:val="0"/>
        </w:rPr>
        <w:t xml:space="preserve">Teléfono: +49 (0) 2645 131 – 1966 </w:t>
      </w:r>
    </w:p>
    <w:p w14:paraId="65F4C38F" w14:textId="77777777" w:rsidR="00E15EBE" w:rsidRDefault="00E15EBE" w:rsidP="00E15EBE">
      <w:pPr>
        <w:pStyle w:val="Fuzeile1"/>
        <w:bidi w:val="0"/>
      </w:pPr>
      <w:r>
        <w:rPr>
          <w:lang w:val="es-es"/>
          <w:b w:val="0"/>
          <w:bCs w:val="0"/>
          <w:i w:val="0"/>
          <w:iCs w:val="0"/>
          <w:u w:val="none"/>
          <w:vertAlign w:val="baseline"/>
          <w:rtl w:val="0"/>
        </w:rPr>
        <w:t xml:space="preserve">Fax: +49 (0) 2645 131 – 499</w:t>
      </w:r>
    </w:p>
    <w:p w14:paraId="79FF3B7C" w14:textId="0C549577" w:rsidR="00E15EBE" w:rsidRDefault="00E15EBE" w:rsidP="00E15EBE">
      <w:pPr>
        <w:pStyle w:val="Fuzeile1"/>
        <w:bidi w:val="0"/>
      </w:pPr>
      <w:r>
        <w:rPr>
          <w:lang w:val="es-es"/>
          <w:b w:val="0"/>
          <w:bCs w:val="0"/>
          <w:i w:val="0"/>
          <w:iCs w:val="0"/>
          <w:u w:val="none"/>
          <w:vertAlign w:val="baseline"/>
          <w:rtl w:val="0"/>
        </w:rPr>
        <w:t xml:space="preserve">Correo electrónico: PR@wirtgen-group.com</w:t>
      </w:r>
      <w:r>
        <w:rPr>
          <w:vanish/>
          <w:b w:val="0"/>
          <w:bCs w:val="0"/>
          <w:i w:val="0"/>
          <w:iCs w:val="0"/>
          <w:u w:val="none"/>
          <w:vertAlign w:val="baseline"/>
          <w:rtl w:val="0"/>
        </w:rPr>
        <w:t xml:space="preserve">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bidi w:val="0"/>
      </w:pPr>
      <w:r>
        <w:rPr>
          <w:lang w:val="es-es"/>
          <w:b w:val="0"/>
          <w:bCs w:val="0"/>
          <w:i w:val="0"/>
          <w:iCs w:val="0"/>
          <w:u w:val="none"/>
          <w:vertAlign w:val="baseline"/>
          <w:rtl w:val="0"/>
        </w:rPr>
        <w:t xml:space="preserve">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6583B" w14:textId="77777777" w:rsidR="00B83044" w:rsidRDefault="00B83044" w:rsidP="00E55534">
      <w:pPr>
        <w:bidi w:val="0"/>
      </w:pPr>
      <w:r>
        <w:separator/>
      </w:r>
    </w:p>
  </w:endnote>
  <w:endnote w:type="continuationSeparator" w:id="0">
    <w:p w14:paraId="2DC2E2C6" w14:textId="77777777" w:rsidR="00B83044" w:rsidRDefault="00B83044"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5A083" w14:textId="77777777" w:rsidR="003C60DB" w:rsidRDefault="003C60D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es-es"/>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es-es"/>
              <w:b w:val="0"/>
              <w:bCs w:val="0"/>
              <w:i w:val="0"/>
              <w:iCs w:val="0"/>
              <w:u w:val="none"/>
              <w:vertAlign w:val="baseline"/>
              <w:rtl w:val="0"/>
            </w:rPr>
            <w:fldChar w:fldCharType="begin"/>
          </w:r>
          <w:r>
            <w:rPr>
              <w:szCs w:val="20"/>
              <w:lang w:val="es-es"/>
              <w:b w:val="0"/>
              <w:bCs w:val="0"/>
              <w:i w:val="0"/>
              <w:iCs w:val="0"/>
              <w:u w:val="none"/>
              <w:vertAlign w:val="baseline"/>
              <w:rtl w:val="0"/>
            </w:rPr>
            <w:instrText xml:space="preserve"> </w:instrText>
          </w:r>
          <w:r>
            <w:rPr>
              <w:szCs w:val="20"/>
              <w:lang w:val="es-es"/>
              <w:b w:val="0"/>
              <w:bCs w:val="0"/>
              <w:i w:val="0"/>
              <w:iCs w:val="0"/>
              <w:u w:val="none"/>
              <w:vertAlign w:val="baseline"/>
              <w:rtl w:val="0"/>
            </w:rPr>
            <w:instrText>PAGE</w:instrText>
          </w:r>
          <w:r>
            <w:rPr>
              <w:szCs w:val="20"/>
              <w:lang w:val="es-es"/>
              <w:b w:val="0"/>
              <w:bCs w:val="0"/>
              <w:i w:val="0"/>
              <w:iCs w:val="0"/>
              <w:u w:val="none"/>
              <w:vertAlign w:val="baseline"/>
              <w:rtl w:val="0"/>
            </w:rPr>
            <w:instrText xml:space="preserve"> \# "</w:instrText>
          </w:r>
          <w:r>
            <w:rPr>
              <w:szCs w:val="20"/>
              <w:lang w:val="es-es"/>
              <w:b w:val="0"/>
              <w:bCs w:val="0"/>
              <w:i w:val="0"/>
              <w:iCs w:val="0"/>
              <w:u w:val="none"/>
              <w:vertAlign w:val="baseline"/>
              <w:rtl w:val="0"/>
            </w:rPr>
            <w:instrText>00</w:instrText>
          </w:r>
          <w:r>
            <w:rPr>
              <w:szCs w:val="20"/>
              <w:lang w:val="es-es"/>
              <w:b w:val="0"/>
              <w:bCs w:val="0"/>
              <w:i w:val="0"/>
              <w:iCs w:val="0"/>
              <w:u w:val="none"/>
              <w:vertAlign w:val="baseline"/>
              <w:rtl w:val="0"/>
            </w:rPr>
            <w:instrText>"</w:instrText>
          </w:r>
          <w:r>
            <w:rPr>
              <w:szCs w:val="20"/>
              <w:lang w:val="es-es"/>
              <w:b w:val="0"/>
              <w:bCs w:val="0"/>
              <w:i w:val="0"/>
              <w:iCs w:val="0"/>
              <w:u w:val="none"/>
              <w:vertAlign w:val="baseline"/>
              <w:rtl w:val="0"/>
            </w:rPr>
            <w:fldChar w:fldCharType="separate"/>
          </w:r>
          <w:r>
            <w:rPr>
              <w:noProof/>
              <w:szCs w:val="20"/>
              <w:lang w:val="es-es"/>
              <w:b w:val="0"/>
              <w:bCs w:val="0"/>
              <w:i w:val="0"/>
              <w:iCs w:val="0"/>
              <w:u w:val="none"/>
              <w:vertAlign w:val="baseline"/>
              <w:rtl w:val="0"/>
            </w:rPr>
            <w:t xml:space="preserve">02</w:t>
          </w:r>
          <w:r>
            <w:rPr>
              <w:szCs w:val="20"/>
              <w:lang w:val="es-es"/>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es-es"/>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es-es"/>
              <w:b w:val="0"/>
              <w:bCs w:val="0"/>
              <w:i w:val="0"/>
              <w:iCs w:val="0"/>
              <w:u w:val="none"/>
              <w:vertAlign w:val="baseline"/>
              <w:rtl w:val="0"/>
            </w:rPr>
            <w:t xml:space="preserve">WIRTGEN</w:t>
          </w:r>
          <w:r>
            <w:rPr>
              <w:rStyle w:val="Hervorhebung"/>
              <w:szCs w:val="20"/>
              <w:lang w:val="es-es"/>
              <w:b w:val="1"/>
              <w:bCs w:val="1"/>
              <w:i w:val="0"/>
              <w:iCs w:val="0"/>
              <w:u w:val="none"/>
              <w:vertAlign w:val="baseline"/>
              <w:rtl w:val="0"/>
            </w:rPr>
            <w:t xml:space="preserve"> GmbH</w:t>
          </w:r>
          <w:r>
            <w:rPr>
              <w:szCs w:val="20"/>
              <w:lang w:val="es-es"/>
              <w:b w:val="0"/>
              <w:bCs w:val="0"/>
              <w:i w:val="0"/>
              <w:iCs w:val="0"/>
              <w:u w:val="none"/>
              <w:vertAlign w:val="baseline"/>
              <w:rtl w:val="0"/>
            </w:rPr>
            <w:t xml:space="preserve"> · Reinhard-Wirtgen-Str. 2 · D-53578 Windhagen · T: +49 26 45 / 131 0</w:t>
          </w:r>
        </w:p>
      </w:tc>
    </w:tr>
  </w:tbl>
  <w:p w14:paraId="732BEB33" w14:textId="77777777" w:rsidR="00533132" w:rsidRDefault="00BD5391">
    <w:pPr>
      <w:pStyle w:val="Fuzeile"/>
      <w:bidi w:val="0"/>
    </w:pPr>
    <w:r>
      <w:rPr>
        <w:noProof/>
        <w:lang w:val="es-es"/>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66495" w14:textId="77777777" w:rsidR="00B83044" w:rsidRDefault="00B83044" w:rsidP="00E55534">
      <w:pPr>
        <w:bidi w:val="0"/>
      </w:pPr>
      <w:r>
        <w:separator/>
      </w:r>
    </w:p>
  </w:footnote>
  <w:footnote w:type="continuationSeparator" w:id="0">
    <w:p w14:paraId="1EB1B47E" w14:textId="77777777" w:rsidR="00B83044" w:rsidRDefault="00B83044"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CBC80" w14:textId="22D0CE24" w:rsidR="003C60DB" w:rsidRDefault="003C60DB">
    <w:pPr>
      <w:pStyle w:val="Kopfzeile"/>
      <w:bidi w:val="0"/>
    </w:pPr>
    <w:r>
      <w:rPr>
        <w:noProof/>
        <w:lang w:val="es-es"/>
        <w:b w:val="0"/>
        <w:bCs w:val="0"/>
        <w:i w:val="0"/>
        <w:iCs w:val="0"/>
        <w:u w:val="none"/>
        <w:vertAlign w:val="baseline"/>
        <w:rtl w:val="0"/>
      </w:rPr>
      <mc:AlternateContent>
        <mc:Choice Requires="wps">
          <w:drawing>
            <wp:anchor distT="0" distB="0" distL="0" distR="0" simplePos="0" relativeHeight="251662336" behindDoc="0" locked="0" layoutInCell="1" allowOverlap="1" wp14:anchorId="3F80F346" wp14:editId="1A5B4CC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E29125" w14:textId="62E732DF"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F80F34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4E29125" w14:textId="62E732DF"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630AC04" w:rsidR="00533132" w:rsidRPr="00533132" w:rsidRDefault="003C60DB" w:rsidP="00533132">
    <w:pPr>
      <w:pStyle w:val="Kopfzeile"/>
      <w:bidi w:val="0"/>
    </w:pPr>
    <w:r>
      <w:rPr>
        <w:noProof/>
        <w:lang w:val="es-es"/>
        <w:b w:val="0"/>
        <w:bCs w:val="0"/>
        <w:i w:val="0"/>
        <w:iCs w:val="0"/>
        <w:u w:val="none"/>
        <w:vertAlign w:val="baseline"/>
        <w:rtl w:val="0"/>
      </w:rPr>
      <mc:AlternateContent>
        <mc:Choice Requires="wps">
          <w:drawing>
            <wp:anchor distT="0" distB="0" distL="0" distR="0" simplePos="0" relativeHeight="251663360" behindDoc="0" locked="0" layoutInCell="1" allowOverlap="1" wp14:anchorId="1443BAEC" wp14:editId="579971AC">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E58256" w14:textId="7EC5C8FF"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443BAEC"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BE58256" w14:textId="7EC5C8FF"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977F4E5" w:rsidR="00533132" w:rsidRDefault="003C60DB">
    <w:pPr>
      <w:pStyle w:val="Kopfzeile"/>
      <w:bidi w:val="0"/>
    </w:pPr>
    <w:r>
      <w:rPr>
        <w:noProof/>
        <w:lang w:val="es-es"/>
        <w:b w:val="0"/>
        <w:bCs w:val="0"/>
        <w:i w:val="0"/>
        <w:iCs w:val="0"/>
        <w:u w:val="none"/>
        <w:vertAlign w:val="baseline"/>
        <w:rtl w:val="0"/>
      </w:rPr>
      <mc:AlternateContent>
        <mc:Choice Requires="wps">
          <w:drawing>
            <wp:anchor distT="0" distB="0" distL="0" distR="0" simplePos="0" relativeHeight="251661312" behindDoc="0" locked="0" layoutInCell="1" allowOverlap="1" wp14:anchorId="29FAC2BE" wp14:editId="69F9135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862582" w14:textId="355993B7"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9FAC2BE"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0862582" w14:textId="355993B7"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646206533">
    <w:abstractNumId w:val="8"/>
  </w:num>
  <w:num w:numId="2" w16cid:durableId="67004498">
    <w:abstractNumId w:val="8"/>
  </w:num>
  <w:num w:numId="3" w16cid:durableId="715080548">
    <w:abstractNumId w:val="8"/>
  </w:num>
  <w:num w:numId="4" w16cid:durableId="572592855">
    <w:abstractNumId w:val="8"/>
  </w:num>
  <w:num w:numId="5" w16cid:durableId="1518159184">
    <w:abstractNumId w:val="8"/>
  </w:num>
  <w:num w:numId="6" w16cid:durableId="1312249386">
    <w:abstractNumId w:val="2"/>
  </w:num>
  <w:num w:numId="7" w16cid:durableId="1176186057">
    <w:abstractNumId w:val="2"/>
  </w:num>
  <w:num w:numId="8" w16cid:durableId="1591425466">
    <w:abstractNumId w:val="2"/>
  </w:num>
  <w:num w:numId="9" w16cid:durableId="1991278456">
    <w:abstractNumId w:val="2"/>
  </w:num>
  <w:num w:numId="10" w16cid:durableId="1859848149">
    <w:abstractNumId w:val="2"/>
  </w:num>
  <w:num w:numId="11" w16cid:durableId="557324001">
    <w:abstractNumId w:val="5"/>
  </w:num>
  <w:num w:numId="12" w16cid:durableId="2059931042">
    <w:abstractNumId w:val="5"/>
  </w:num>
  <w:num w:numId="13" w16cid:durableId="219874009">
    <w:abstractNumId w:val="4"/>
  </w:num>
  <w:num w:numId="14" w16cid:durableId="1098284237">
    <w:abstractNumId w:val="4"/>
  </w:num>
  <w:num w:numId="15" w16cid:durableId="95181320">
    <w:abstractNumId w:val="4"/>
  </w:num>
  <w:num w:numId="16" w16cid:durableId="453988016">
    <w:abstractNumId w:val="4"/>
  </w:num>
  <w:num w:numId="17" w16cid:durableId="1515074672">
    <w:abstractNumId w:val="4"/>
  </w:num>
  <w:num w:numId="18" w16cid:durableId="423383366">
    <w:abstractNumId w:val="1"/>
  </w:num>
  <w:num w:numId="19" w16cid:durableId="1542546567">
    <w:abstractNumId w:val="3"/>
  </w:num>
  <w:num w:numId="20" w16cid:durableId="2056343373">
    <w:abstractNumId w:val="7"/>
  </w:num>
  <w:num w:numId="21" w16cid:durableId="2721327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4440332">
    <w:abstractNumId w:val="0"/>
  </w:num>
  <w:num w:numId="23" w16cid:durableId="7551321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5250505">
    <w:abstractNumId w:val="6"/>
  </w:num>
  <w:num w:numId="25" w16cid:durableId="7911715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0F392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F47AC"/>
    <w:rsid w:val="00200355"/>
    <w:rsid w:val="0021351D"/>
    <w:rsid w:val="00246DBB"/>
    <w:rsid w:val="00253A2E"/>
    <w:rsid w:val="002603EC"/>
    <w:rsid w:val="002611FE"/>
    <w:rsid w:val="00282AFC"/>
    <w:rsid w:val="00286C15"/>
    <w:rsid w:val="0029634D"/>
    <w:rsid w:val="002C7542"/>
    <w:rsid w:val="002D065C"/>
    <w:rsid w:val="002D0780"/>
    <w:rsid w:val="002D2EE5"/>
    <w:rsid w:val="002D63E6"/>
    <w:rsid w:val="002E5ACC"/>
    <w:rsid w:val="002E765F"/>
    <w:rsid w:val="002E7E4E"/>
    <w:rsid w:val="002F108B"/>
    <w:rsid w:val="002F5818"/>
    <w:rsid w:val="002F70FD"/>
    <w:rsid w:val="0030316D"/>
    <w:rsid w:val="0032774C"/>
    <w:rsid w:val="00332D28"/>
    <w:rsid w:val="0034191A"/>
    <w:rsid w:val="00343CC7"/>
    <w:rsid w:val="0036561D"/>
    <w:rsid w:val="003665BE"/>
    <w:rsid w:val="00384A08"/>
    <w:rsid w:val="00385E48"/>
    <w:rsid w:val="00387E6F"/>
    <w:rsid w:val="003967E5"/>
    <w:rsid w:val="003A753A"/>
    <w:rsid w:val="003B3803"/>
    <w:rsid w:val="003C2A71"/>
    <w:rsid w:val="003C60DB"/>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4F052F"/>
    <w:rsid w:val="00506409"/>
    <w:rsid w:val="00515EB1"/>
    <w:rsid w:val="00530E32"/>
    <w:rsid w:val="00533132"/>
    <w:rsid w:val="00537210"/>
    <w:rsid w:val="0054416D"/>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E0F6A"/>
    <w:rsid w:val="006F7602"/>
    <w:rsid w:val="00722A17"/>
    <w:rsid w:val="00723F4F"/>
    <w:rsid w:val="00745F70"/>
    <w:rsid w:val="00754B80"/>
    <w:rsid w:val="00755AE0"/>
    <w:rsid w:val="0075761B"/>
    <w:rsid w:val="00757B83"/>
    <w:rsid w:val="00774358"/>
    <w:rsid w:val="00791A69"/>
    <w:rsid w:val="0079462A"/>
    <w:rsid w:val="00794830"/>
    <w:rsid w:val="00797CAA"/>
    <w:rsid w:val="007A2B6F"/>
    <w:rsid w:val="007A6BD2"/>
    <w:rsid w:val="007C2658"/>
    <w:rsid w:val="007D1B25"/>
    <w:rsid w:val="007D59A2"/>
    <w:rsid w:val="007E20D0"/>
    <w:rsid w:val="007E3DAB"/>
    <w:rsid w:val="008053B3"/>
    <w:rsid w:val="008201F7"/>
    <w:rsid w:val="00820315"/>
    <w:rsid w:val="00823073"/>
    <w:rsid w:val="0082316D"/>
    <w:rsid w:val="00832921"/>
    <w:rsid w:val="00834472"/>
    <w:rsid w:val="00836A5D"/>
    <w:rsid w:val="008427F2"/>
    <w:rsid w:val="00843B45"/>
    <w:rsid w:val="0084571C"/>
    <w:rsid w:val="00855429"/>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21442"/>
    <w:rsid w:val="00B5232A"/>
    <w:rsid w:val="00B60ED1"/>
    <w:rsid w:val="00B62CF5"/>
    <w:rsid w:val="00B83044"/>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11C7"/>
    <w:rsid w:val="00F23212"/>
    <w:rsid w:val="00F33B16"/>
    <w:rsid w:val="00F353EA"/>
    <w:rsid w:val="00F36C27"/>
    <w:rsid w:val="00F52ECB"/>
    <w:rsid w:val="00F56318"/>
    <w:rsid w:val="00F67C95"/>
    <w:rsid w:val="00F742D4"/>
    <w:rsid w:val="00F74540"/>
    <w:rsid w:val="00F75B79"/>
    <w:rsid w:val="00F82525"/>
    <w:rsid w:val="00F91AC4"/>
    <w:rsid w:val="00F97FEA"/>
    <w:rsid w:val="00FB60E1"/>
    <w:rsid w:val="00FD3768"/>
    <w:rsid w:val="00FD51E9"/>
    <w:rsid w:val="00FE60D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515EB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footer" Target="footer2.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oter" Target="footer1.xml" /><Relationship Id="rId17" Type="http://schemas.openxmlformats.org/officeDocument/2006/relationships/theme" Target="theme/theme1.xml" /><Relationship Id="rId2" Type="http://schemas.openxmlformats.org/officeDocument/2006/relationships/numbering" Target="numbering.xml" /><Relationship Id="rId16" Type="http://schemas.openxmlformats.org/officeDocument/2006/relationships/fontTable" Target="fontTable.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2.xml" /><Relationship Id="rId5" Type="http://schemas.openxmlformats.org/officeDocument/2006/relationships/webSettings" Target="webSettings.xml" /><Relationship Id="rId15" Type="http://schemas.openxmlformats.org/officeDocument/2006/relationships/footer" Target="footer3.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header" Target="header3.xml" /></Relationships>
</file>

<file path=word/_rels/header2.xml.rels><?xml version="1.0" encoding="UTF-8" standalone="yes"?>
<Relationships xmlns="http://schemas.openxmlformats.org/package/2006/relationships"><Relationship Id="rId1" Type="http://schemas.openxmlformats.org/officeDocument/2006/relationships/image" Target="media/image5.emf" /></Relationships>
</file>

<file path=word/_rels/header3.xml.rels><?xml version="1.0" encoding="UTF-8" standalone="yes"?>
<Relationships xmlns="http://schemas.openxmlformats.org/package/2006/relationships"><Relationship Id="rId2" Type="http://schemas.openxmlformats.org/officeDocument/2006/relationships/image" Target="media/image7.wmf" /><Relationship Id="rId1" Type="http://schemas.openxmlformats.org/officeDocument/2006/relationships/image" Target="media/image6.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541</Words>
  <Characters>3410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Narres Christian</cp:lastModifiedBy>
  <cp:revision>6</cp:revision>
  <cp:lastPrinted>2021-10-28T15:19:00Z</cp:lastPrinted>
  <dcterms:created xsi:type="dcterms:W3CDTF">2023-05-23T12:18:00Z</dcterms:created>
  <dcterms:modified xsi:type="dcterms:W3CDTF">2023-05-23T13:23:00Z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2023-05-15T16:09:41Z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b048f713-0520-4b24-8379-2ab12005fc12</vt:lpwstr>
  </property>
  <property fmtid="{D5CDD505-2E9C-101B-9397-08002B2CF9AE}" pid="11" name="MSIP_Label_df1a195f-122b-42dc-a2d3-71a1903dcdac_ContentBits">
    <vt:lpwstr>1</vt:lpwstr>
  </property>
</Properties>
</file>