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0956236C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Cross application miner for challenging infrastructure projects</w:t>
      </w:r>
      <w:r>
        <w:rPr>
          <w:color w:val="000000" w:themeColor="text1"/>
        </w:rPr>
        <w:t xml:space="preserve"> </w:t>
      </w:r>
    </w:p>
    <w:p w14:paraId="79244FF4" w14:textId="42BE237D" w:rsidR="00EC2A3B" w:rsidRPr="00B6024E" w:rsidRDefault="003235AC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The 260 SX(i) is the first model of a new machine category at Wirtgen</w:t>
      </w:r>
      <w:r>
        <w:rPr>
          <w:color w:val="000000" w:themeColor="text1"/>
        </w:rPr>
        <w:t xml:space="preserve"> </w:t>
      </w:r>
    </w:p>
    <w:p w14:paraId="2D201F3B" w14:textId="5CD7CF8F" w:rsidR="00C25876" w:rsidRDefault="00422D2B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Whether for routing operations for railway projects, pipeline laying, or the construction of roads, tunnels, harbours, or water retention basins – cross application miners like the 260 SX(i) are the ideal choice for a multifaceted spectrum of applications and can powerfully, economically, and sustainably cut all types of rock.</w:t>
      </w:r>
      <w:r>
        <w:rPr>
          <w:color w:val="000000" w:themeColor="text1"/>
        </w:rPr>
        <w:t xml:space="preserve"> </w:t>
      </w:r>
    </w:p>
    <w:p w14:paraId="6ED304B0" w14:textId="77777777" w:rsidR="00C25876" w:rsidRDefault="00C25876" w:rsidP="000C5DA0">
      <w:pPr>
        <w:pStyle w:val="Teaser"/>
        <w:rPr>
          <w:color w:val="000000" w:themeColor="text1"/>
        </w:rPr>
      </w:pPr>
    </w:p>
    <w:p w14:paraId="71771FCF" w14:textId="445AEA15" w:rsidR="00640019" w:rsidRPr="00195A2E" w:rsidRDefault="00C640DC" w:rsidP="000C5DA0">
      <w:pPr>
        <w:pStyle w:val="Teaser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Appropriate cutting drums for both hard and soft rock are available for the machine.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In most cases, the extracted material is offloaded directly to road-legal construction site trucks with the machine’s integrated discharge conveyor.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Aside from performance, a particular focus in the construction of the machine was set on assuring high machine utilisation rates, as infrastructure projects often have to fulfil critical deadlines.</w:t>
      </w:r>
    </w:p>
    <w:p w14:paraId="451AF518" w14:textId="334662B9" w:rsidR="006B0D9D" w:rsidRPr="006B0D9D" w:rsidRDefault="006B0D9D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Environmentally compatible method for routing work and land-levelling</w:t>
      </w:r>
    </w:p>
    <w:p w14:paraId="2DFA60CF" w14:textId="07FE045E" w:rsidR="000D6C5B" w:rsidRDefault="006B0D9D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Routing work in solid ground, for instance on sandstone, limestone, slate, or granite, are frequently realised by drilling and blasting.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consequences of this method are strong shock waves, noise, dust pollution and a risk to health from toxic gases.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Restrictive environmental requirements with regard to noise and dust pollution and significantly higher costs for the procurement and handling of explosives make the method less and less attractive.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use of explosives is also not permitted in built-up areas.</w:t>
      </w:r>
    </w:p>
    <w:p w14:paraId="7FB5278F" w14:textId="1F19706A" w:rsidR="007C08A5" w:rsidRDefault="007C08A5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In contrast, the 260 SX(i) excavates stone and rock by means of a cutting process.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machine cuts, crushes and discharges the material in a single operation to a width of 2.75 m and a depth of up to 650 mm.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process is almost vibration-free and causes only very little dust and noise pollution.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process can therefore be employed in the immediate vicinity of buildings or buried utility pipes and cables.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260 SX(i) cuts routes with a final profile and therefore saves the costs otherwise required for the processing of additionally excavated material and levelling.</w:t>
      </w:r>
      <w:r>
        <w:rPr>
          <w:b w:val="0"/>
          <w:color w:val="000000" w:themeColor="text1"/>
        </w:rPr>
        <w:t xml:space="preserve"> </w:t>
      </w:r>
    </w:p>
    <w:p w14:paraId="37EE417C" w14:textId="77777777" w:rsidR="0052164B" w:rsidRDefault="0052164B" w:rsidP="006B0D9D">
      <w:pPr>
        <w:pStyle w:val="Teaserhead"/>
        <w:rPr>
          <w:b w:val="0"/>
          <w:bCs/>
          <w:color w:val="000000" w:themeColor="text1"/>
        </w:rPr>
      </w:pPr>
    </w:p>
    <w:p w14:paraId="2E465AED" w14:textId="594E1E1B" w:rsidR="0052164B" w:rsidRDefault="00431F19" w:rsidP="0052164B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Performance and precision in even the tightest spaces</w:t>
      </w:r>
      <w:r>
        <w:rPr>
          <w:color w:val="000000" w:themeColor="text1"/>
        </w:rPr>
        <w:t xml:space="preserve"> </w:t>
      </w:r>
    </w:p>
    <w:p w14:paraId="5C1B0DC3" w14:textId="4D361D8D" w:rsidR="0052164B" w:rsidRDefault="0052164B" w:rsidP="0052164B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Powered by a 30-litre, high-torque diesel engine with a rated power output of over 1,000 hp, the new machine always has sufficient reserves for the extraction of rock by cutting.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material can be directly offloaded into transport vehicles or deposited by either sidecasting or cut-to-ground.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Already successfully established in road construction and mining operations, the new LEVEL PRO ACTIVE levelling system is responsible for guaranteeing a consistently precise cutting depth.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Its functions have been expanded with ergonomically designed control panels that make controlling the system intuitive and simple.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 turning radius of under 9 metres and the good manoeuvrability enable rapid turning manoeuvres, even in confined spaces.</w:t>
      </w:r>
    </w:p>
    <w:p w14:paraId="30189ABB" w14:textId="77777777" w:rsidR="00E276BF" w:rsidRDefault="00E276BF" w:rsidP="0052164B">
      <w:pPr>
        <w:pStyle w:val="Teaserhead"/>
        <w:rPr>
          <w:b w:val="0"/>
          <w:bCs/>
          <w:color w:val="000000" w:themeColor="text1"/>
        </w:rPr>
      </w:pPr>
    </w:p>
    <w:p w14:paraId="39741003" w14:textId="73DA81D4" w:rsidR="00371E83" w:rsidRDefault="00371E83">
      <w:pPr>
        <w:rPr>
          <w:rFonts w:ascii="Verdana" w:eastAsiaTheme="minorHAnsi" w:hAnsi="Verdana" w:cstheme="minorBidi"/>
          <w:b/>
          <w:color w:val="000000" w:themeColor="text1"/>
          <w:sz w:val="22"/>
          <w:lang w:eastAsia="en-US"/>
        </w:rPr>
      </w:pPr>
    </w:p>
    <w:p w14:paraId="5F54FD28" w14:textId="0231DC5B" w:rsidR="00195A2E" w:rsidRDefault="00935F29" w:rsidP="00C7208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A safe working environment</w:t>
      </w:r>
    </w:p>
    <w:p w14:paraId="57012ECC" w14:textId="6B3ECDBC" w:rsidR="00D04416" w:rsidRDefault="00D04416" w:rsidP="001D76CC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The 260 SX(i) is fitted with a dust-proofed positive pressure operator’s cabin with a fresh air filtering system, which effectively prevents dust entering the operator’s workplace.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Apart from the comfortable operator’s seat, the cabin also provides an extra seat for a trainer for safe practical training of inexperienced operators on the machine.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cabin also features an integrated, certified ROPS / FOPS system to ensure the protection of the operating personnel.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When working at night, safe operation is assured by bright illumination of all relevant working areas on and around the machine.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high-powered lighting system of the 260 SX(i) comprises LED floodlights for the working areas, lamps on the discharge conveyor and brightly illuminated access ladders and walkways.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operator’s cabin with all-round glazing is swivel-mounted on the front left chassis column and provides a consistently optimal all-round view of the working area and the material loading procedure.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An operating concept in line with the latest standards of ergonomics provides an ideal workspace that is an inviting aid to productive working with minimal stress and fatigue.</w:t>
      </w:r>
      <w:r>
        <w:rPr>
          <w:b w:val="0"/>
          <w:color w:val="000000" w:themeColor="text1"/>
        </w:rPr>
        <w:t xml:space="preserve"> </w:t>
      </w:r>
    </w:p>
    <w:p w14:paraId="057A35EB" w14:textId="77777777" w:rsidR="001D76CC" w:rsidRDefault="001D76CC" w:rsidP="001D76CC">
      <w:pPr>
        <w:pStyle w:val="Teaserhead"/>
        <w:rPr>
          <w:b w:val="0"/>
          <w:bCs/>
          <w:color w:val="000000" w:themeColor="text1"/>
        </w:rPr>
      </w:pPr>
    </w:p>
    <w:p w14:paraId="0B5CD7B2" w14:textId="3FFB35EA" w:rsidR="006B0D9D" w:rsidRPr="0049684E" w:rsidRDefault="00D41161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Cutting level surfaces and stable embankments</w:t>
      </w:r>
    </w:p>
    <w:p w14:paraId="1A2ABF86" w14:textId="42E14E22" w:rsidR="006B0D9D" w:rsidRPr="0052164B" w:rsidRDefault="00FB69CF" w:rsidP="007E74DA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In the course of the cutting process, the 260 SX(i) produces precise, level surfaces that can be used directly as roads for construction vehicles or as foundations for routing work.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On the one hand, existing profiles copied by scanning the level of an existing surface using sensors installed on the side plate can serve as a reference for levelling.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On the other hand, new profiling is also possible with the cross application miner, for example, on the basis of a 3D terrain model.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Depending on the application, construction work can begin as soon as the desired profile has been produced.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In road construction, for example, the surface cut by the machine provides an ideal base for the subsequent paving of surface layers.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During the cutting process, the machine enables the production of stable embankments with a predefined bank sloping angle – making another decisive contribution to safety and the minimisation of the need for additional excavation.</w:t>
      </w:r>
      <w:r>
        <w:rPr>
          <w:b w:val="0"/>
          <w:color w:val="000000" w:themeColor="text1"/>
        </w:rPr>
        <w:t xml:space="preserve">  </w:t>
      </w:r>
    </w:p>
    <w:p w14:paraId="212DEB93" w14:textId="3C731CB6" w:rsidR="008737E1" w:rsidRDefault="008737E1" w:rsidP="007E74DA">
      <w:pPr>
        <w:pStyle w:val="Teaserhead"/>
        <w:rPr>
          <w:b w:val="0"/>
          <w:bCs/>
          <w:color w:val="000000" w:themeColor="text1"/>
        </w:rPr>
      </w:pPr>
    </w:p>
    <w:p w14:paraId="27214FA1" w14:textId="66DE7082" w:rsidR="001D76CC" w:rsidRPr="005B183E" w:rsidRDefault="001D76CC" w:rsidP="007E74DA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Tunnel construction</w:t>
      </w:r>
    </w:p>
    <w:p w14:paraId="502E080C" w14:textId="037053B4" w:rsidR="00A82D24" w:rsidRDefault="008B3803" w:rsidP="00A82D24">
      <w:pPr>
        <w:pStyle w:val="Teaserhead"/>
        <w:rPr>
          <w:b w:val="0"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The construction of new tunnels or the lowering of the floors of existing tunnels often involves working in confined spaces and parallel to continuing rail traffic.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Blasting is rarely a viable option for loosening the rock.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cross application miner enables the precise removal of floors with minimal vibration and the lowering of the tunnel profile to the desired level.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The height of the miner can be reduced for working in tunnels by mounting the operator’s cabin directly above the front left track unit.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In this configuration, the machine also works using the cut-to-ground method, without a discharge conveyor and conveyor frame.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This means that the 260 SX(i) can also realise its full performance potential in narrow tunnelling situations.</w:t>
      </w:r>
    </w:p>
    <w:p w14:paraId="26FE891A" w14:textId="77777777" w:rsidR="00A82D24" w:rsidRPr="00A82D24" w:rsidRDefault="00A82D24" w:rsidP="00A82D24">
      <w:pPr>
        <w:pStyle w:val="Teaserhead"/>
        <w:rPr>
          <w:rFonts w:cs="`≈Ωπò"/>
          <w:b w:val="0"/>
          <w:color w:val="000000" w:themeColor="text1"/>
        </w:rPr>
      </w:pPr>
    </w:p>
    <w:p w14:paraId="15290C0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C5CEAD7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1194213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4A6E8E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2D5B7DD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1998F77F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27C42A00" w14:textId="1BFB7A8B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Photos:</w:t>
      </w:r>
    </w:p>
    <w:p w14:paraId="29E92010" w14:textId="38961C3D" w:rsidR="00BD25D1" w:rsidRPr="00632702" w:rsidRDefault="00B16827" w:rsidP="008F7B6B">
      <w:pPr>
        <w:pStyle w:val="BUbold"/>
      </w:pPr>
      <w:r>
        <w:drawing>
          <wp:inline distT="0" distB="0" distL="0" distR="0" wp14:anchorId="349780A9" wp14:editId="69637DED">
            <wp:extent cx="2404800" cy="1352748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W_Title_260SX-260SX_Tunneling_00001_HI</w:t>
      </w:r>
    </w:p>
    <w:p w14:paraId="3415D8A1" w14:textId="3F71D199" w:rsidR="00556B5E" w:rsidRPr="00632702" w:rsidRDefault="00632702" w:rsidP="00556B5E">
      <w:pPr>
        <w:pStyle w:val="BUnormal"/>
        <w:rPr>
          <w:color w:val="auto"/>
        </w:rPr>
      </w:pPr>
      <w:r>
        <w:rPr>
          <w:color w:val="auto"/>
        </w:rPr>
        <w:t xml:space="preserve">The 260 SX(i) provides ideal solutions for challenging infrastructure projects and impresses with high utilisation rates and high daily productivity.</w:t>
      </w:r>
    </w:p>
    <w:p w14:paraId="1FECED17" w14:textId="77777777" w:rsidR="00556B5E" w:rsidRPr="00632702" w:rsidRDefault="00556B5E" w:rsidP="008A4FE5">
      <w:pPr>
        <w:pStyle w:val="BUbold"/>
      </w:pPr>
    </w:p>
    <w:p w14:paraId="72C91A01" w14:textId="6E306A5F" w:rsidR="008A4FE5" w:rsidRDefault="008A4FE5" w:rsidP="008A4FE5">
      <w:pPr>
        <w:pStyle w:val="BUbold"/>
      </w:pPr>
      <w:r>
        <w:drawing>
          <wp:inline distT="0" distB="0" distL="0" distR="0" wp14:anchorId="089D1761" wp14:editId="6D6FAE12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CD83D" w14:textId="77777777" w:rsidR="00A82D24" w:rsidRPr="00A82D24" w:rsidRDefault="00A82D24" w:rsidP="00DC2CF7">
      <w:pPr>
        <w:pStyle w:val="BUbold"/>
      </w:pPr>
      <w:r>
        <w:t xml:space="preserve">W_photo_260SXi_00001_HI</w:t>
      </w:r>
      <w:r>
        <w:t xml:space="preserve"> </w:t>
      </w:r>
    </w:p>
    <w:p w14:paraId="604A16A7" w14:textId="52EB2CA7" w:rsidR="006E032A" w:rsidRPr="002D09E3" w:rsidRDefault="002D09E3" w:rsidP="00DC2CF7">
      <w:pPr>
        <w:pStyle w:val="BUbold"/>
      </w:pPr>
      <w:r>
        <w:rPr>
          <w:b w:val="0"/>
        </w:rPr>
        <w:t xml:space="preserve">Swivel-mounted on the front chassis column, the air-conditioned and soundproofed operator’s cabin of the 260 SX(i) features all-round glazing and provides a productive working environment with a low risk of fatigue.</w:t>
      </w:r>
    </w:p>
    <w:p w14:paraId="49F29A67" w14:textId="48EA822A" w:rsidR="002D09E3" w:rsidRPr="0074317E" w:rsidRDefault="001C5536" w:rsidP="0074317E">
      <w:pPr>
        <w:pStyle w:val="BUbold"/>
        <w:rPr>
          <w:color w:val="FF0000"/>
        </w:rPr>
      </w:pPr>
      <w:r>
        <w:rPr>
          <w:color w:val="FF0000"/>
        </w:rPr>
        <w:t xml:space="preserve"> </w:t>
      </w:r>
    </w:p>
    <w:p w14:paraId="51156A29" w14:textId="42B220A2" w:rsidR="006E032A" w:rsidRPr="005E6051" w:rsidRDefault="006E032A" w:rsidP="00DC2CF7">
      <w:pPr>
        <w:pStyle w:val="BUbold"/>
      </w:pPr>
    </w:p>
    <w:p w14:paraId="4B8A1368" w14:textId="2874391A" w:rsidR="00AE5899" w:rsidRPr="00C00E69" w:rsidRDefault="006E032A" w:rsidP="00DC2CF7">
      <w:pPr>
        <w:pStyle w:val="BUbold"/>
      </w:pPr>
      <w:r>
        <w:drawing>
          <wp:inline distT="0" distB="0" distL="0" distR="0" wp14:anchorId="546B4974" wp14:editId="61F5D4D3">
            <wp:extent cx="2404800" cy="13527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DA518" w14:textId="77777777" w:rsidR="00A82D24" w:rsidRPr="00A82D24" w:rsidRDefault="003D484E" w:rsidP="00A82D24">
      <w:pPr>
        <w:pStyle w:val="Note"/>
        <w:spacing w:before="0" w:after="0"/>
        <w:rPr>
          <w:b/>
          <w:i w:val="0"/>
          <w:color w:val="auto"/>
          <w:szCs w:val="24"/>
        </w:rPr>
      </w:pPr>
      <w:r>
        <w:rPr>
          <w:b/>
          <w:i w:val="0"/>
          <w:color w:val="auto"/>
        </w:rPr>
        <w:t xml:space="preserve">W_graphic_260SXi_00001_HI</w:t>
      </w:r>
      <w:r>
        <w:rPr>
          <w:b/>
          <w:i w:val="0"/>
          <w:color w:val="auto"/>
        </w:rPr>
        <w:t xml:space="preserve"> </w:t>
      </w:r>
    </w:p>
    <w:p w14:paraId="575B8030" w14:textId="092F160D" w:rsidR="00BF4982" w:rsidRDefault="002D09E3" w:rsidP="00A82D24">
      <w:pPr>
        <w:pStyle w:val="Note"/>
        <w:spacing w:before="0" w:after="0"/>
        <w:rPr>
          <w:i w:val="0"/>
          <w:color w:val="auto"/>
        </w:rPr>
      </w:pPr>
      <w:r>
        <w:rPr>
          <w:i w:val="0"/>
          <w:color w:val="auto"/>
        </w:rPr>
        <w:t xml:space="preserve">The compact dimensions of the 260 SX(i) in tunnelling configuration enable efficient working in the narrow confines of tunnels.</w:t>
      </w:r>
    </w:p>
    <w:p w14:paraId="6C7CC5EA" w14:textId="77777777" w:rsidR="00DE6E4C" w:rsidRPr="00DE6E4C" w:rsidRDefault="00DE6E4C" w:rsidP="00DE6E4C">
      <w:pPr>
        <w:pStyle w:val="Standardabsatz"/>
      </w:pPr>
    </w:p>
    <w:p w14:paraId="1C3F9106" w14:textId="28D5317B" w:rsidR="004F2917" w:rsidRPr="00A82D24" w:rsidRDefault="00E15EBE" w:rsidP="00A82D24">
      <w:pPr>
        <w:pStyle w:val="Note"/>
      </w:pPr>
      <w:r>
        <w:t xml:space="preserve">Please note:</w:t>
      </w:r>
      <w:r>
        <w:t xml:space="preserve"> </w:t>
      </w:r>
      <w:r>
        <w:t xml:space="preserve">the photographs shown here are only previews.</w:t>
      </w:r>
      <w:r>
        <w:t xml:space="preserve"> </w:t>
      </w:r>
      <w:r>
        <w:t xml:space="preserve">If you wish to publish them in other media, please download the higher resolution (300 dpi) versions from the Wirtgen Group websites.</w:t>
      </w:r>
    </w:p>
    <w:p w14:paraId="55931FB8" w14:textId="3C40C7D9" w:rsidR="00E15EBE" w:rsidRDefault="00E15EBE" w:rsidP="00E15EBE">
      <w:pPr>
        <w:pStyle w:val="Absatzberschrift"/>
        <w:rPr>
          <w:iCs/>
        </w:rPr>
      </w:pPr>
      <w:r>
        <w:t xml:space="preserve">For further information, please contact us at: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Reinhard-Wirtgen-Strasse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Germany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Telephone:</w:t>
      </w:r>
      <w:r>
        <w:t xml:space="preserve"> </w:t>
      </w:r>
      <w:r>
        <w:t xml:space="preserve">+49 (0)2645 131 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Fax:</w:t>
      </w:r>
      <w:r>
        <w:t xml:space="preserve"> </w:t>
      </w:r>
      <w:r>
        <w:t xml:space="preserve">+49 (0)2645 131 499</w:t>
      </w:r>
    </w:p>
    <w:p w14:paraId="79FF3B7C" w14:textId="0C549577" w:rsidR="00E15EBE" w:rsidRDefault="00E15EBE" w:rsidP="00E15EBE">
      <w:pPr>
        <w:pStyle w:val="Fuzeile1"/>
      </w:pPr>
      <w:r>
        <w:t xml:space="preserve">Email: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715423C9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64CD" w14:textId="77777777" w:rsidR="00672445" w:rsidRDefault="00672445" w:rsidP="00E55534">
      <w:r>
        <w:separator/>
      </w:r>
    </w:p>
  </w:endnote>
  <w:endnote w:type="continuationSeparator" w:id="0">
    <w:p w14:paraId="60CDE8D2" w14:textId="77777777" w:rsidR="00672445" w:rsidRDefault="0067244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604945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53578 Windhagen, Germany · T:</w:t>
          </w:r>
          <w:r>
            <w:t xml:space="preserve"> </w:t>
          </w:r>
          <w:r>
            <w:t xml:space="preserve">+49 (0)2645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EE5FE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A7A3" w14:textId="77777777" w:rsidR="00672445" w:rsidRDefault="00672445" w:rsidP="00E55534">
      <w:r>
        <w:separator/>
      </w:r>
    </w:p>
  </w:footnote>
  <w:footnote w:type="continuationSeparator" w:id="0">
    <w:p w14:paraId="31D35547" w14:textId="77777777" w:rsidR="00672445" w:rsidRDefault="0067244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Confidential with No Personal Information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Confidential with No Personal Information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B730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0" type="#_x0000_t75" style="width:1500.1pt;height:1500.1pt" o:bullet="t">
        <v:imagedata r:id="rId1" o:title="AZ_04a"/>
      </v:shape>
    </w:pict>
  </w:numPicBullet>
  <w:numPicBullet w:numPicBulletId="1">
    <w:pict>
      <v:shape id="_x0000_i169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dirty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AB0"/>
    <w:rsid w:val="0001294F"/>
    <w:rsid w:val="00013A34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4FAF"/>
    <w:rsid w:val="00086EF1"/>
    <w:rsid w:val="00095D6E"/>
    <w:rsid w:val="0009665C"/>
    <w:rsid w:val="00097846"/>
    <w:rsid w:val="000A0479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C5B"/>
    <w:rsid w:val="000D6D70"/>
    <w:rsid w:val="000D78C7"/>
    <w:rsid w:val="000E13CF"/>
    <w:rsid w:val="000E1BFD"/>
    <w:rsid w:val="000E24F8"/>
    <w:rsid w:val="000E5738"/>
    <w:rsid w:val="000F4EED"/>
    <w:rsid w:val="000F7D70"/>
    <w:rsid w:val="00103205"/>
    <w:rsid w:val="00105522"/>
    <w:rsid w:val="001108DB"/>
    <w:rsid w:val="00112BA4"/>
    <w:rsid w:val="00114788"/>
    <w:rsid w:val="0011795C"/>
    <w:rsid w:val="0012026F"/>
    <w:rsid w:val="0012047F"/>
    <w:rsid w:val="001220C8"/>
    <w:rsid w:val="00124DA9"/>
    <w:rsid w:val="001254B8"/>
    <w:rsid w:val="00126253"/>
    <w:rsid w:val="00130188"/>
    <w:rsid w:val="00130601"/>
    <w:rsid w:val="00132055"/>
    <w:rsid w:val="00132C09"/>
    <w:rsid w:val="001421D3"/>
    <w:rsid w:val="001437B9"/>
    <w:rsid w:val="001458FB"/>
    <w:rsid w:val="00146C3D"/>
    <w:rsid w:val="0015095B"/>
    <w:rsid w:val="00152C68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95A2E"/>
    <w:rsid w:val="001A3B6A"/>
    <w:rsid w:val="001A4572"/>
    <w:rsid w:val="001A5028"/>
    <w:rsid w:val="001B0E71"/>
    <w:rsid w:val="001B16BB"/>
    <w:rsid w:val="001B34EE"/>
    <w:rsid w:val="001B5EA7"/>
    <w:rsid w:val="001C03D5"/>
    <w:rsid w:val="001C0F04"/>
    <w:rsid w:val="001C1A3E"/>
    <w:rsid w:val="001C2400"/>
    <w:rsid w:val="001C3C60"/>
    <w:rsid w:val="001C5536"/>
    <w:rsid w:val="001C59E7"/>
    <w:rsid w:val="001D68C8"/>
    <w:rsid w:val="001D76CC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22B18"/>
    <w:rsid w:val="00231EB6"/>
    <w:rsid w:val="00233BE0"/>
    <w:rsid w:val="00235085"/>
    <w:rsid w:val="002354F0"/>
    <w:rsid w:val="00236EAC"/>
    <w:rsid w:val="0024073B"/>
    <w:rsid w:val="0024785D"/>
    <w:rsid w:val="00251451"/>
    <w:rsid w:val="00253A2E"/>
    <w:rsid w:val="00255FEC"/>
    <w:rsid w:val="00256570"/>
    <w:rsid w:val="00256B4B"/>
    <w:rsid w:val="002603EC"/>
    <w:rsid w:val="00264BAC"/>
    <w:rsid w:val="00277189"/>
    <w:rsid w:val="00282AFC"/>
    <w:rsid w:val="002834F2"/>
    <w:rsid w:val="00284D07"/>
    <w:rsid w:val="00286C15"/>
    <w:rsid w:val="002929ED"/>
    <w:rsid w:val="00294726"/>
    <w:rsid w:val="00295E2E"/>
    <w:rsid w:val="0029634D"/>
    <w:rsid w:val="002A5AA5"/>
    <w:rsid w:val="002A7B3E"/>
    <w:rsid w:val="002B073D"/>
    <w:rsid w:val="002B2BEA"/>
    <w:rsid w:val="002B4168"/>
    <w:rsid w:val="002B542C"/>
    <w:rsid w:val="002C7542"/>
    <w:rsid w:val="002C799E"/>
    <w:rsid w:val="002D065C"/>
    <w:rsid w:val="002D0780"/>
    <w:rsid w:val="002D09E3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40E7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35AC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5AD0"/>
    <w:rsid w:val="00347482"/>
    <w:rsid w:val="00361CAA"/>
    <w:rsid w:val="00364C0C"/>
    <w:rsid w:val="0036561D"/>
    <w:rsid w:val="003665BE"/>
    <w:rsid w:val="0037121E"/>
    <w:rsid w:val="00371E83"/>
    <w:rsid w:val="00377975"/>
    <w:rsid w:val="00384A08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484E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5C70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2D2B"/>
    <w:rsid w:val="004245A1"/>
    <w:rsid w:val="004270C0"/>
    <w:rsid w:val="00430BB0"/>
    <w:rsid w:val="00431F19"/>
    <w:rsid w:val="0043258F"/>
    <w:rsid w:val="004408A5"/>
    <w:rsid w:val="004506A5"/>
    <w:rsid w:val="004571B4"/>
    <w:rsid w:val="00461F90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84E"/>
    <w:rsid w:val="00496CA9"/>
    <w:rsid w:val="004A03B6"/>
    <w:rsid w:val="004A280E"/>
    <w:rsid w:val="004A3263"/>
    <w:rsid w:val="004A6A0F"/>
    <w:rsid w:val="004A7E90"/>
    <w:rsid w:val="004B08DB"/>
    <w:rsid w:val="004B2156"/>
    <w:rsid w:val="004B55EA"/>
    <w:rsid w:val="004B7464"/>
    <w:rsid w:val="004C1967"/>
    <w:rsid w:val="004C3AF5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E7229"/>
    <w:rsid w:val="004F2917"/>
    <w:rsid w:val="004F3205"/>
    <w:rsid w:val="004F5EEE"/>
    <w:rsid w:val="005001DF"/>
    <w:rsid w:val="00502424"/>
    <w:rsid w:val="00506409"/>
    <w:rsid w:val="00512FA6"/>
    <w:rsid w:val="0052164B"/>
    <w:rsid w:val="00524187"/>
    <w:rsid w:val="005243F4"/>
    <w:rsid w:val="00530E32"/>
    <w:rsid w:val="00531AC8"/>
    <w:rsid w:val="00533132"/>
    <w:rsid w:val="00533B14"/>
    <w:rsid w:val="00537210"/>
    <w:rsid w:val="00543A55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531E"/>
    <w:rsid w:val="00576E80"/>
    <w:rsid w:val="005776E9"/>
    <w:rsid w:val="00582C10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183E"/>
    <w:rsid w:val="005B4FEB"/>
    <w:rsid w:val="005B5793"/>
    <w:rsid w:val="005B65A1"/>
    <w:rsid w:val="005C5329"/>
    <w:rsid w:val="005C5532"/>
    <w:rsid w:val="005C5F60"/>
    <w:rsid w:val="005C6B30"/>
    <w:rsid w:val="005C71EC"/>
    <w:rsid w:val="005C74A5"/>
    <w:rsid w:val="005E0B7B"/>
    <w:rsid w:val="005E2166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1DB6"/>
    <w:rsid w:val="006135DC"/>
    <w:rsid w:val="00615FDE"/>
    <w:rsid w:val="00615FEF"/>
    <w:rsid w:val="00617EFB"/>
    <w:rsid w:val="00622355"/>
    <w:rsid w:val="00622A57"/>
    <w:rsid w:val="00623910"/>
    <w:rsid w:val="00623B37"/>
    <w:rsid w:val="00623C4F"/>
    <w:rsid w:val="0062485E"/>
    <w:rsid w:val="0062533B"/>
    <w:rsid w:val="00625E69"/>
    <w:rsid w:val="00626A5B"/>
    <w:rsid w:val="006313BD"/>
    <w:rsid w:val="00632702"/>
    <w:rsid w:val="006330A2"/>
    <w:rsid w:val="00640019"/>
    <w:rsid w:val="00642EB6"/>
    <w:rsid w:val="006433E2"/>
    <w:rsid w:val="00644C35"/>
    <w:rsid w:val="00651E5D"/>
    <w:rsid w:val="00661D0A"/>
    <w:rsid w:val="00663AB6"/>
    <w:rsid w:val="00663C42"/>
    <w:rsid w:val="00664391"/>
    <w:rsid w:val="00666FA1"/>
    <w:rsid w:val="00672445"/>
    <w:rsid w:val="00677F11"/>
    <w:rsid w:val="00682B1A"/>
    <w:rsid w:val="00685367"/>
    <w:rsid w:val="00686E32"/>
    <w:rsid w:val="00690A95"/>
    <w:rsid w:val="00690D7C"/>
    <w:rsid w:val="00690DFE"/>
    <w:rsid w:val="00696966"/>
    <w:rsid w:val="006A0F41"/>
    <w:rsid w:val="006A2703"/>
    <w:rsid w:val="006B0466"/>
    <w:rsid w:val="006B09B5"/>
    <w:rsid w:val="006B0C2B"/>
    <w:rsid w:val="006B0D9D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2B5"/>
    <w:rsid w:val="007017FF"/>
    <w:rsid w:val="0070437A"/>
    <w:rsid w:val="007062F0"/>
    <w:rsid w:val="007078AB"/>
    <w:rsid w:val="00722419"/>
    <w:rsid w:val="00722A17"/>
    <w:rsid w:val="00723F4F"/>
    <w:rsid w:val="00725C51"/>
    <w:rsid w:val="007305E3"/>
    <w:rsid w:val="00732878"/>
    <w:rsid w:val="0074317E"/>
    <w:rsid w:val="00754B80"/>
    <w:rsid w:val="00755AE0"/>
    <w:rsid w:val="00756C06"/>
    <w:rsid w:val="0075761B"/>
    <w:rsid w:val="00757B83"/>
    <w:rsid w:val="00763239"/>
    <w:rsid w:val="00767111"/>
    <w:rsid w:val="00771E29"/>
    <w:rsid w:val="007727E5"/>
    <w:rsid w:val="00773347"/>
    <w:rsid w:val="00773D08"/>
    <w:rsid w:val="00774358"/>
    <w:rsid w:val="00777256"/>
    <w:rsid w:val="00780B11"/>
    <w:rsid w:val="0079020B"/>
    <w:rsid w:val="00791A69"/>
    <w:rsid w:val="00793EFF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08A5"/>
    <w:rsid w:val="007C2658"/>
    <w:rsid w:val="007D3693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E74DA"/>
    <w:rsid w:val="007F27EE"/>
    <w:rsid w:val="007F4F85"/>
    <w:rsid w:val="007F6147"/>
    <w:rsid w:val="007F6F21"/>
    <w:rsid w:val="007F797E"/>
    <w:rsid w:val="00800F17"/>
    <w:rsid w:val="008048A3"/>
    <w:rsid w:val="00804BBC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D36"/>
    <w:rsid w:val="008460FF"/>
    <w:rsid w:val="0086035D"/>
    <w:rsid w:val="00860844"/>
    <w:rsid w:val="00862A6B"/>
    <w:rsid w:val="00863129"/>
    <w:rsid w:val="00866830"/>
    <w:rsid w:val="00866B0B"/>
    <w:rsid w:val="00870ACE"/>
    <w:rsid w:val="00871BB3"/>
    <w:rsid w:val="00873125"/>
    <w:rsid w:val="008737E1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0705"/>
    <w:rsid w:val="008B1AE4"/>
    <w:rsid w:val="008B3803"/>
    <w:rsid w:val="008B5B38"/>
    <w:rsid w:val="008B7440"/>
    <w:rsid w:val="008B777E"/>
    <w:rsid w:val="008C2A29"/>
    <w:rsid w:val="008C2DB2"/>
    <w:rsid w:val="008C36F5"/>
    <w:rsid w:val="008D14A9"/>
    <w:rsid w:val="008D770E"/>
    <w:rsid w:val="008D7F8A"/>
    <w:rsid w:val="008E5FBF"/>
    <w:rsid w:val="008E67E8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5F29"/>
    <w:rsid w:val="009367C5"/>
    <w:rsid w:val="00936816"/>
    <w:rsid w:val="00936A78"/>
    <w:rsid w:val="009375E1"/>
    <w:rsid w:val="00941ED6"/>
    <w:rsid w:val="00943F43"/>
    <w:rsid w:val="009459E7"/>
    <w:rsid w:val="00950B28"/>
    <w:rsid w:val="00951667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96716"/>
    <w:rsid w:val="009A1B36"/>
    <w:rsid w:val="009A77CB"/>
    <w:rsid w:val="009B17A9"/>
    <w:rsid w:val="009B211F"/>
    <w:rsid w:val="009B73CC"/>
    <w:rsid w:val="009B7C05"/>
    <w:rsid w:val="009B7F15"/>
    <w:rsid w:val="009C2378"/>
    <w:rsid w:val="009C289E"/>
    <w:rsid w:val="009C5A77"/>
    <w:rsid w:val="009C5D99"/>
    <w:rsid w:val="009C6CB0"/>
    <w:rsid w:val="009D016F"/>
    <w:rsid w:val="009D685C"/>
    <w:rsid w:val="009D741A"/>
    <w:rsid w:val="009E251D"/>
    <w:rsid w:val="009E5E67"/>
    <w:rsid w:val="009F10A8"/>
    <w:rsid w:val="009F2409"/>
    <w:rsid w:val="009F26EC"/>
    <w:rsid w:val="009F3413"/>
    <w:rsid w:val="009F715C"/>
    <w:rsid w:val="00A019AE"/>
    <w:rsid w:val="00A019BF"/>
    <w:rsid w:val="00A02F49"/>
    <w:rsid w:val="00A03E63"/>
    <w:rsid w:val="00A05C21"/>
    <w:rsid w:val="00A07F91"/>
    <w:rsid w:val="00A11B30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3F77"/>
    <w:rsid w:val="00A54136"/>
    <w:rsid w:val="00A617D2"/>
    <w:rsid w:val="00A61E00"/>
    <w:rsid w:val="00A66B3F"/>
    <w:rsid w:val="00A6743E"/>
    <w:rsid w:val="00A67C3D"/>
    <w:rsid w:val="00A71389"/>
    <w:rsid w:val="00A71EC6"/>
    <w:rsid w:val="00A7473D"/>
    <w:rsid w:val="00A82395"/>
    <w:rsid w:val="00A82D24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3B11"/>
    <w:rsid w:val="00B15441"/>
    <w:rsid w:val="00B15F21"/>
    <w:rsid w:val="00B16827"/>
    <w:rsid w:val="00B257A2"/>
    <w:rsid w:val="00B2657E"/>
    <w:rsid w:val="00B26D1B"/>
    <w:rsid w:val="00B274DD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6E86"/>
    <w:rsid w:val="00BA7ED8"/>
    <w:rsid w:val="00BB0BB6"/>
    <w:rsid w:val="00BB59CF"/>
    <w:rsid w:val="00BB6C69"/>
    <w:rsid w:val="00BB7D58"/>
    <w:rsid w:val="00BC1451"/>
    <w:rsid w:val="00BD1058"/>
    <w:rsid w:val="00BD25D1"/>
    <w:rsid w:val="00BD38C6"/>
    <w:rsid w:val="00BD451B"/>
    <w:rsid w:val="00BD5391"/>
    <w:rsid w:val="00BD5B26"/>
    <w:rsid w:val="00BD764C"/>
    <w:rsid w:val="00BD79F4"/>
    <w:rsid w:val="00BE0E31"/>
    <w:rsid w:val="00BE4B29"/>
    <w:rsid w:val="00BF1352"/>
    <w:rsid w:val="00BF29E7"/>
    <w:rsid w:val="00BF2FA8"/>
    <w:rsid w:val="00BF4982"/>
    <w:rsid w:val="00BF56B2"/>
    <w:rsid w:val="00BF5B78"/>
    <w:rsid w:val="00C00C05"/>
    <w:rsid w:val="00C00E69"/>
    <w:rsid w:val="00C023AB"/>
    <w:rsid w:val="00C02B97"/>
    <w:rsid w:val="00C055AB"/>
    <w:rsid w:val="00C10874"/>
    <w:rsid w:val="00C11F95"/>
    <w:rsid w:val="00C1318F"/>
    <w:rsid w:val="00C136DF"/>
    <w:rsid w:val="00C1485E"/>
    <w:rsid w:val="00C17501"/>
    <w:rsid w:val="00C20193"/>
    <w:rsid w:val="00C25876"/>
    <w:rsid w:val="00C276CA"/>
    <w:rsid w:val="00C31DC7"/>
    <w:rsid w:val="00C35211"/>
    <w:rsid w:val="00C40627"/>
    <w:rsid w:val="00C4371A"/>
    <w:rsid w:val="00C43EAF"/>
    <w:rsid w:val="00C4439B"/>
    <w:rsid w:val="00C457C3"/>
    <w:rsid w:val="00C63A18"/>
    <w:rsid w:val="00C640DC"/>
    <w:rsid w:val="00C644CA"/>
    <w:rsid w:val="00C658FC"/>
    <w:rsid w:val="00C6618C"/>
    <w:rsid w:val="00C6664E"/>
    <w:rsid w:val="00C7208D"/>
    <w:rsid w:val="00C73005"/>
    <w:rsid w:val="00C73FBA"/>
    <w:rsid w:val="00C8173F"/>
    <w:rsid w:val="00C82F64"/>
    <w:rsid w:val="00C84264"/>
    <w:rsid w:val="00C850E8"/>
    <w:rsid w:val="00C85E18"/>
    <w:rsid w:val="00C86912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1DA7"/>
    <w:rsid w:val="00CF2935"/>
    <w:rsid w:val="00CF36C9"/>
    <w:rsid w:val="00D00EC4"/>
    <w:rsid w:val="00D04416"/>
    <w:rsid w:val="00D1427E"/>
    <w:rsid w:val="00D166AC"/>
    <w:rsid w:val="00D36267"/>
    <w:rsid w:val="00D36BA2"/>
    <w:rsid w:val="00D376F1"/>
    <w:rsid w:val="00D378F1"/>
    <w:rsid w:val="00D37CF4"/>
    <w:rsid w:val="00D4109C"/>
    <w:rsid w:val="00D41161"/>
    <w:rsid w:val="00D4487C"/>
    <w:rsid w:val="00D60059"/>
    <w:rsid w:val="00D60D20"/>
    <w:rsid w:val="00D619E1"/>
    <w:rsid w:val="00D63D33"/>
    <w:rsid w:val="00D67679"/>
    <w:rsid w:val="00D71A4A"/>
    <w:rsid w:val="00D73352"/>
    <w:rsid w:val="00D75BC7"/>
    <w:rsid w:val="00D76478"/>
    <w:rsid w:val="00D76F7D"/>
    <w:rsid w:val="00D80649"/>
    <w:rsid w:val="00D82936"/>
    <w:rsid w:val="00D915F8"/>
    <w:rsid w:val="00D935C3"/>
    <w:rsid w:val="00DA0266"/>
    <w:rsid w:val="00DA33E4"/>
    <w:rsid w:val="00DA477E"/>
    <w:rsid w:val="00DA5B04"/>
    <w:rsid w:val="00DB238E"/>
    <w:rsid w:val="00DB3BBF"/>
    <w:rsid w:val="00DB4BB0"/>
    <w:rsid w:val="00DC1E42"/>
    <w:rsid w:val="00DC2CF7"/>
    <w:rsid w:val="00DE461D"/>
    <w:rsid w:val="00DE5812"/>
    <w:rsid w:val="00DE6E4C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1613E"/>
    <w:rsid w:val="00E21E67"/>
    <w:rsid w:val="00E24F23"/>
    <w:rsid w:val="00E25771"/>
    <w:rsid w:val="00E276BF"/>
    <w:rsid w:val="00E27C5B"/>
    <w:rsid w:val="00E30EBF"/>
    <w:rsid w:val="00E316C0"/>
    <w:rsid w:val="00E31E03"/>
    <w:rsid w:val="00E361AB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8662B"/>
    <w:rsid w:val="00E914D1"/>
    <w:rsid w:val="00E94469"/>
    <w:rsid w:val="00E94C48"/>
    <w:rsid w:val="00E960D8"/>
    <w:rsid w:val="00EB047F"/>
    <w:rsid w:val="00EB0F94"/>
    <w:rsid w:val="00EB1C8A"/>
    <w:rsid w:val="00EB4830"/>
    <w:rsid w:val="00EB4BFB"/>
    <w:rsid w:val="00EB5FCA"/>
    <w:rsid w:val="00EB7D9C"/>
    <w:rsid w:val="00EC2A3B"/>
    <w:rsid w:val="00EC53E2"/>
    <w:rsid w:val="00EC7BBF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3B16"/>
    <w:rsid w:val="00F353EA"/>
    <w:rsid w:val="00F36C27"/>
    <w:rsid w:val="00F41496"/>
    <w:rsid w:val="00F41E43"/>
    <w:rsid w:val="00F43810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F6D"/>
    <w:rsid w:val="00F97FEA"/>
    <w:rsid w:val="00FA1594"/>
    <w:rsid w:val="00FA2BD0"/>
    <w:rsid w:val="00FA6194"/>
    <w:rsid w:val="00FA751E"/>
    <w:rsid w:val="00FA7EB6"/>
    <w:rsid w:val="00FB60E1"/>
    <w:rsid w:val="00FB6673"/>
    <w:rsid w:val="00FB69CF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0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2</cp:revision>
  <cp:lastPrinted>2022-05-09T13:57:00Z</cp:lastPrinted>
  <dcterms:created xsi:type="dcterms:W3CDTF">2022-06-01T06:53:00Z</dcterms:created>
  <dcterms:modified xsi:type="dcterms:W3CDTF">2022-06-01T06:53:00Z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