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01E564CE" w:rsidR="00A46F1E" w:rsidRPr="00016179" w:rsidRDefault="008833AA" w:rsidP="00016179">
      <w:pPr>
        <w:pStyle w:val="Head"/>
        <w:rPr>
          <w:lang w:val="en-US"/>
        </w:rPr>
      </w:pPr>
      <w:r>
        <w:rPr>
          <w:lang w:val="fr-FR"/>
        </w:rPr>
        <w:t xml:space="preserve">Le </w:t>
      </w:r>
      <w:r w:rsidR="006F0D27">
        <w:rPr>
          <w:lang w:val="fr-FR"/>
        </w:rPr>
        <w:t>Wirtgen Group présente un grand portefeuille de produits pour la pose de béton à World of Concrete 2024</w:t>
      </w:r>
    </w:p>
    <w:p w14:paraId="193790FB" w14:textId="0F937B42" w:rsidR="00A46F1E" w:rsidRDefault="001A2F63" w:rsidP="00016179">
      <w:pPr>
        <w:pStyle w:val="Subhead"/>
        <w:jc w:val="both"/>
      </w:pPr>
      <w:r>
        <w:rPr>
          <w:bCs/>
          <w:iCs w:val="0"/>
          <w:lang w:val="fr-FR"/>
        </w:rPr>
        <w:t>Des solutions innovantes et adaptées au marché pour la pose précise et rentable du béton</w:t>
      </w:r>
    </w:p>
    <w:p w14:paraId="22EF6189" w14:textId="3884B98A" w:rsidR="00C95AF1" w:rsidRPr="00016179" w:rsidRDefault="00654E06" w:rsidP="00623910">
      <w:pPr>
        <w:pStyle w:val="Teaser"/>
        <w:rPr>
          <w:lang w:val="en-US"/>
        </w:rPr>
      </w:pPr>
      <w:r>
        <w:rPr>
          <w:bCs/>
          <w:lang w:val="fr-FR"/>
        </w:rPr>
        <w:t>Sa présentation sera le point culminant du World of Concrete, du 23 au 25 janvier 2024</w:t>
      </w:r>
      <w:r>
        <w:rPr>
          <w:b w:val="0"/>
          <w:lang w:val="fr-FR"/>
        </w:rPr>
        <w:t> :</w:t>
      </w:r>
      <w:r>
        <w:rPr>
          <w:bCs/>
          <w:lang w:val="fr-FR"/>
        </w:rPr>
        <w:t xml:space="preserve"> l’atelier de pose du béton complet de Wirtgen comprend l’alimentateur latéral WPS 102i, la machine à coffrage glissant SP 124i et la machine de traitement </w:t>
      </w:r>
      <w:r w:rsidR="008833AA">
        <w:rPr>
          <w:bCs/>
          <w:lang w:val="fr-FR"/>
        </w:rPr>
        <w:t xml:space="preserve">de surface </w:t>
      </w:r>
      <w:r>
        <w:rPr>
          <w:bCs/>
          <w:lang w:val="fr-FR"/>
        </w:rPr>
        <w:t xml:space="preserve">TCM 180i. Les </w:t>
      </w:r>
      <w:r w:rsidR="008833AA">
        <w:rPr>
          <w:bCs/>
          <w:lang w:val="fr-FR"/>
        </w:rPr>
        <w:t>machines à coffrage glissant</w:t>
      </w:r>
      <w:r>
        <w:rPr>
          <w:bCs/>
          <w:lang w:val="fr-FR"/>
        </w:rPr>
        <w:t xml:space="preserve"> Offset SP 15i et SP 25i viennent compléter les solutions sur le stand commun (C5327) du Wirtgen Group et de John Deere. </w:t>
      </w:r>
    </w:p>
    <w:p w14:paraId="7FD9BA48" w14:textId="2A755A87" w:rsidR="00796FA6" w:rsidRPr="00D47E5A" w:rsidRDefault="00796FA6" w:rsidP="00796FA6">
      <w:pPr>
        <w:pStyle w:val="Teaserhead"/>
      </w:pPr>
      <w:r>
        <w:rPr>
          <w:bCs/>
          <w:lang w:val="fr-FR"/>
        </w:rPr>
        <w:t>Machine à coffrage glissant Offset à haute flexibilité</w:t>
      </w:r>
    </w:p>
    <w:p w14:paraId="458AFB5B" w14:textId="1E9739F5" w:rsidR="00796FA6" w:rsidRPr="00016179" w:rsidRDefault="00796FA6" w:rsidP="00796FA6">
      <w:pPr>
        <w:pStyle w:val="Standardabsatz"/>
        <w:rPr>
          <w:bCs/>
          <w:lang w:val="fr-FR"/>
        </w:rPr>
      </w:pPr>
      <w:r>
        <w:rPr>
          <w:lang w:val="fr-FR"/>
        </w:rPr>
        <w:t xml:space="preserve">Avec la SP 15i et la SP 25i, Wirtgen présente deux </w:t>
      </w:r>
      <w:r w:rsidR="008833AA">
        <w:rPr>
          <w:lang w:val="fr-FR"/>
        </w:rPr>
        <w:t>machines</w:t>
      </w:r>
      <w:r>
        <w:rPr>
          <w:lang w:val="fr-FR"/>
        </w:rPr>
        <w:t xml:space="preserve"> très adaptables pour la pose du béton offset. Les deux machines permettent un positionnement flexible du coffrage glissant, ce qui constitue un grand avantage lors de la production de profilés monolithiques dans le procédé de pose Offset. L</w:t>
      </w:r>
      <w:r w:rsidR="008833AA">
        <w:rPr>
          <w:lang w:val="fr-FR"/>
        </w:rPr>
        <w:t>a</w:t>
      </w:r>
      <w:r>
        <w:rPr>
          <w:lang w:val="fr-FR"/>
        </w:rPr>
        <w:t xml:space="preserve"> SP 15i est équipé</w:t>
      </w:r>
      <w:r w:rsidR="008833AA">
        <w:rPr>
          <w:lang w:val="fr-FR"/>
        </w:rPr>
        <w:t>e</w:t>
      </w:r>
      <w:r>
        <w:rPr>
          <w:lang w:val="fr-FR"/>
        </w:rPr>
        <w:t xml:space="preserve"> d’un poste de conduite extensible. La machine offre au conducteur un meilleur aperçu du résultat de pose, de l’alimentation en béton, de la trémie d’acheminement et de la chambre d'homogénéisation de la benne. La machine à coffrage glissant multifonctions SP 25i assure la pose de divers profils monolithiques d’une hauteur allant jusqu’à 2 m </w:t>
      </w:r>
      <w:r w:rsidR="00950521">
        <w:rPr>
          <w:lang w:val="fr-FR"/>
        </w:rPr>
        <w:t xml:space="preserve">(6 pieds 7 pouces) </w:t>
      </w:r>
      <w:r>
        <w:rPr>
          <w:lang w:val="fr-FR"/>
        </w:rPr>
        <w:t>et des surfaces en béton d’une largeur allant jusqu’à 4 m</w:t>
      </w:r>
      <w:r w:rsidR="00950521">
        <w:rPr>
          <w:lang w:val="fr-FR"/>
        </w:rPr>
        <w:t xml:space="preserve"> (12 pieds)</w:t>
      </w:r>
      <w:r>
        <w:rPr>
          <w:lang w:val="fr-FR"/>
        </w:rPr>
        <w:t>. Grâce au système de commande AutoPilot 2.0 spécialement développé, la machine peut également être commandée sans fil.</w:t>
      </w:r>
    </w:p>
    <w:p w14:paraId="70F44FDB" w14:textId="2703E40A" w:rsidR="00C95AF1" w:rsidRPr="00016179" w:rsidRDefault="00E70B50" w:rsidP="00881E44">
      <w:pPr>
        <w:pStyle w:val="Teaserhead"/>
        <w:rPr>
          <w:lang w:val="en-US"/>
        </w:rPr>
      </w:pPr>
      <w:r>
        <w:rPr>
          <w:bCs/>
          <w:lang w:val="fr-FR"/>
        </w:rPr>
        <w:t>Machine à coffrage glissant Inset SP 124i d’une largeur de pose allant jusqu'à 12 m</w:t>
      </w:r>
      <w:r w:rsidR="00950521">
        <w:rPr>
          <w:bCs/>
          <w:lang w:val="fr-FR"/>
        </w:rPr>
        <w:t xml:space="preserve"> (40 pieds)</w:t>
      </w:r>
    </w:p>
    <w:p w14:paraId="10B6ECE7" w14:textId="5266644F" w:rsidR="00862A6B" w:rsidRPr="00016179" w:rsidRDefault="00112BA4" w:rsidP="00796FA6">
      <w:pPr>
        <w:pStyle w:val="Standardabsatz"/>
        <w:rPr>
          <w:shd w:val="clear" w:color="auto" w:fill="FFFFFF"/>
          <w:lang w:val="en-US"/>
        </w:rPr>
      </w:pPr>
      <w:r>
        <w:rPr>
          <w:lang w:val="fr-FR"/>
        </w:rPr>
        <w:t>La SP 124i est une machine à coffrage glissant Inset entièrement modulaire de la gamme des 12 m</w:t>
      </w:r>
      <w:r w:rsidR="00950521">
        <w:rPr>
          <w:lang w:val="fr-FR"/>
        </w:rPr>
        <w:t xml:space="preserve"> (40 pieds)</w:t>
      </w:r>
      <w:r>
        <w:rPr>
          <w:lang w:val="fr-FR"/>
        </w:rPr>
        <w:t xml:space="preserve"> : </w:t>
      </w:r>
      <w:r>
        <w:rPr>
          <w:shd w:val="clear" w:color="auto" w:fill="FFFFFF"/>
          <w:lang w:val="fr-FR"/>
        </w:rPr>
        <w:t xml:space="preserve">elle offre de très nombreuses applications dans la construction de grandes </w:t>
      </w:r>
      <w:r>
        <w:rPr>
          <w:lang w:val="fr-FR"/>
        </w:rPr>
        <w:t>routes</w:t>
      </w:r>
      <w:r>
        <w:rPr>
          <w:shd w:val="clear" w:color="auto" w:fill="FFFFFF"/>
          <w:lang w:val="fr-FR"/>
        </w:rPr>
        <w:t xml:space="preserve"> et de zones aéroportuaires. Avec un châssis télescopable selon un système hydraulique dans le sens longitudinal et mécanique en longueur, la machine s’adapte parfaitement à toutes les conditions de chantier. Quatre bras pivotant hydrauliques simplifient le transport de la machine et offrent une grande adaptabilité à toutes les conditions de chantier. Ce finisseur à 4 trains de chenilles sera présenté pour la première fois à Las Vegas avec l’atelier de pose composé de l’alimentateur latéral WPS 102i et de la machine de traitement de surface TCM 180i. </w:t>
      </w:r>
    </w:p>
    <w:p w14:paraId="405FCE81" w14:textId="77777777" w:rsidR="00796FA6" w:rsidRPr="00016179" w:rsidRDefault="00796FA6" w:rsidP="00796FA6">
      <w:pPr>
        <w:pStyle w:val="Teaserhead"/>
        <w:rPr>
          <w:lang w:val="en-US"/>
        </w:rPr>
      </w:pPr>
      <w:r>
        <w:rPr>
          <w:bCs/>
          <w:lang w:val="fr-FR"/>
        </w:rPr>
        <w:t>L’alimentateur latéral WPS 102i augmente la productivité</w:t>
      </w:r>
    </w:p>
    <w:p w14:paraId="25F84445" w14:textId="6ED7DC2E" w:rsidR="00796FA6" w:rsidRPr="00016179" w:rsidRDefault="00796FA6" w:rsidP="00796FA6">
      <w:pPr>
        <w:pStyle w:val="Standardabsatz"/>
        <w:rPr>
          <w:color w:val="000000" w:themeColor="text1"/>
          <w:lang w:val="en-US"/>
        </w:rPr>
      </w:pPr>
      <w:r>
        <w:rPr>
          <w:lang w:val="fr-FR"/>
        </w:rPr>
        <w:t xml:space="preserve">Quand une chaussée ou un chemin est réalisé avec une armature préalablement posée, l’alimentation en béton doit généralement se faire par le côté. Une application à laquelle sont prédestinés les alimentateurs latéraux de Wirtgen. Constituant la première machine de l’atelier de pose, ils se déplacent devant la machine à coffrage glissant et la machine de traitement de surface, par-dessus l’armature. L’alimentation se fait latéralement par un camion chargé de béton, que l’alimentateur latéral répartit de manière homogène sur toute la largeur de travail. L’épaisseur de pose maximale du béton est de 500 mm </w:t>
      </w:r>
      <w:r w:rsidR="00950521">
        <w:rPr>
          <w:lang w:val="fr-FR"/>
        </w:rPr>
        <w:t xml:space="preserve">(20 pouces) </w:t>
      </w:r>
      <w:r>
        <w:rPr>
          <w:lang w:val="fr-FR"/>
        </w:rPr>
        <w:t xml:space="preserve">pour des largeurs de pose comprises entre 4 et </w:t>
      </w:r>
      <w:r>
        <w:rPr>
          <w:lang w:val="fr-FR"/>
        </w:rPr>
        <w:lastRenderedPageBreak/>
        <w:t>12 m</w:t>
      </w:r>
      <w:r w:rsidR="00950521">
        <w:rPr>
          <w:lang w:val="fr-FR"/>
        </w:rPr>
        <w:t xml:space="preserve"> (de 12 pieds à 40 pieds)</w:t>
      </w:r>
      <w:r>
        <w:rPr>
          <w:lang w:val="fr-FR"/>
        </w:rPr>
        <w:t xml:space="preserve">. La conception entièrement modulaire de la machine, qui est équipée de série de systèmes hydrauliques d’accouplement rapide, permet de transformer le WPS 102i aussi facilement que son « plus petit frère », le WPS 62i. Cela assure un transport rapide et une haute disponibilité de la machine. Le WPS 102i peut être contrôlé avec précision par palpage sur fil de guidage, via des applications 3D sans fil guide ou au moyen de </w:t>
      </w:r>
      <w:r w:rsidR="008833AA">
        <w:rPr>
          <w:lang w:val="fr-FR"/>
        </w:rPr>
        <w:t>l’</w:t>
      </w:r>
      <w:r>
        <w:rPr>
          <w:lang w:val="fr-FR"/>
        </w:rPr>
        <w:t>AutoPilot 2.0</w:t>
      </w:r>
      <w:r w:rsidR="008833AA">
        <w:rPr>
          <w:lang w:val="fr-FR"/>
        </w:rPr>
        <w:t xml:space="preserve"> de Wirtgen</w:t>
      </w:r>
      <w:r>
        <w:rPr>
          <w:lang w:val="fr-FR"/>
        </w:rPr>
        <w:t>.</w:t>
      </w:r>
    </w:p>
    <w:p w14:paraId="731EA7DC" w14:textId="77777777" w:rsidR="00F10315" w:rsidRPr="00016179" w:rsidRDefault="00F10315" w:rsidP="00F10315">
      <w:pPr>
        <w:pStyle w:val="Standardabsatz"/>
        <w:spacing w:after="0"/>
        <w:rPr>
          <w:lang w:val="en-US"/>
        </w:rPr>
      </w:pPr>
      <w:r>
        <w:rPr>
          <w:b/>
          <w:bCs/>
          <w:lang w:val="fr-FR"/>
        </w:rPr>
        <w:t>La commande sans fil de guidage améliore l'efficacité et la sécurité</w:t>
      </w:r>
    </w:p>
    <w:p w14:paraId="28303FB5" w14:textId="661B94D7" w:rsidR="00034F90" w:rsidRPr="00016179" w:rsidRDefault="00F10315" w:rsidP="00F10315">
      <w:pPr>
        <w:pStyle w:val="Standardabsatz"/>
        <w:spacing w:after="0"/>
        <w:rPr>
          <w:lang w:val="fr-FR"/>
        </w:rPr>
      </w:pPr>
      <w:r>
        <w:rPr>
          <w:lang w:val="fr-FR"/>
        </w:rPr>
        <w:t xml:space="preserve">L’AutoPilot 2.0 est un système de commande développé par Wirtgen pour la pose sans fil de guidage, comme alternative au palpage conventionnel d’un fil de guidage. Le système est disponible pour tous les finisseurs Offset et alimentateurs latéraux. La régulation de hauteur ainsi que la direction de la machine sont réglées avec précision. Un signal GNSS sert de référence ainsi que, selon la configuration, différents capteurs locaux, comme par exemple un capteur ultrason sur la machine. Le fil de guidage est complètement supprimé et, avec lui, le temps nécessaire à la mise en place et au démontage. Les petits rayons et les géométries complexes peuvent être réalisés de manière rapide et précise. Le système AutoPilot 2.0 </w:t>
      </w:r>
      <w:r w:rsidR="008833AA">
        <w:rPr>
          <w:lang w:val="fr-FR"/>
        </w:rPr>
        <w:t xml:space="preserve">de Wirtgen </w:t>
      </w:r>
      <w:r>
        <w:rPr>
          <w:lang w:val="fr-FR"/>
        </w:rPr>
        <w:t>assure à la fois la commande de la machine et la commande sans fil de guidage.</w:t>
      </w:r>
    </w:p>
    <w:p w14:paraId="0990EEAE" w14:textId="77777777" w:rsidR="003131ED" w:rsidRPr="00016179" w:rsidRDefault="003131ED" w:rsidP="00862A6B">
      <w:pPr>
        <w:pStyle w:val="Standardabsatz"/>
        <w:rPr>
          <w:lang w:val="fr-FR"/>
        </w:rPr>
      </w:pPr>
    </w:p>
    <w:p w14:paraId="77997C2A" w14:textId="5244CDB6" w:rsidR="00984641" w:rsidRDefault="00E15EBE" w:rsidP="00E15EBE">
      <w:pPr>
        <w:pStyle w:val="Fotos"/>
      </w:pPr>
      <w:r>
        <w:rPr>
          <w:bCs/>
          <w:lang w:val="fr-FR"/>
        </w:rPr>
        <w:t>Photos :</w:t>
      </w:r>
    </w:p>
    <w:p w14:paraId="7C2A95CC" w14:textId="77777777" w:rsidR="00984641" w:rsidRDefault="00984641" w:rsidP="00984641">
      <w:pPr>
        <w:pStyle w:val="Fotos"/>
      </w:pPr>
      <w:r>
        <w:rPr>
          <w:b w:val="0"/>
          <w:noProof/>
          <w:lang w:val="fr-FR"/>
        </w:rPr>
        <w:drawing>
          <wp:inline distT="0" distB="0" distL="0" distR="0" wp14:anchorId="0FFF468F" wp14:editId="6D7DC7E5">
            <wp:extent cx="1964635" cy="13527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1964635" cy="1352700"/>
                    </a:xfrm>
                    <a:prstGeom prst="rect">
                      <a:avLst/>
                    </a:prstGeom>
                    <a:noFill/>
                    <a:ln>
                      <a:noFill/>
                    </a:ln>
                  </pic:spPr>
                </pic:pic>
              </a:graphicData>
            </a:graphic>
          </wp:inline>
        </w:drawing>
      </w:r>
    </w:p>
    <w:p w14:paraId="08C1B351" w14:textId="1633F4A0" w:rsidR="00984641" w:rsidRPr="00016179" w:rsidRDefault="00612617" w:rsidP="00984641">
      <w:pPr>
        <w:pStyle w:val="BUbold"/>
        <w:rPr>
          <w:lang w:val="en-US"/>
        </w:rPr>
      </w:pPr>
      <w:r>
        <w:rPr>
          <w:bCs/>
          <w:lang w:val="fr-FR"/>
        </w:rPr>
        <w:t xml:space="preserve">W_pic_SP15_02732_HI </w:t>
      </w:r>
    </w:p>
    <w:p w14:paraId="0A08D5D0" w14:textId="43A44401" w:rsidR="00984641" w:rsidRPr="00016179" w:rsidRDefault="00984641" w:rsidP="00984641">
      <w:pPr>
        <w:pStyle w:val="BUnormal"/>
        <w:rPr>
          <w:lang w:val="en-US"/>
        </w:rPr>
      </w:pPr>
      <w:r>
        <w:rPr>
          <w:lang w:val="fr-FR"/>
        </w:rPr>
        <w:t xml:space="preserve">Le système de commande AutoPilot 2.0 </w:t>
      </w:r>
      <w:r w:rsidR="008833AA">
        <w:rPr>
          <w:lang w:val="fr-FR"/>
        </w:rPr>
        <w:t xml:space="preserve">de Wirtgen </w:t>
      </w:r>
      <w:r>
        <w:rPr>
          <w:lang w:val="fr-FR"/>
        </w:rPr>
        <w:t xml:space="preserve">pour la pose sans fil de guidage augmente l'efficacité du processus et la sécurité. </w:t>
      </w:r>
    </w:p>
    <w:p w14:paraId="0AC9D630" w14:textId="77777777" w:rsidR="00984641" w:rsidRPr="00016179" w:rsidRDefault="00984641" w:rsidP="00E15EBE">
      <w:pPr>
        <w:pStyle w:val="Fotos"/>
        <w:rPr>
          <w:lang w:val="en-US"/>
        </w:rPr>
      </w:pPr>
    </w:p>
    <w:p w14:paraId="03204FD1" w14:textId="324F9FE1" w:rsidR="00A41C30" w:rsidRDefault="00A41C30" w:rsidP="00A41C30">
      <w:pPr>
        <w:pStyle w:val="BUbold"/>
      </w:pPr>
      <w:r>
        <w:rPr>
          <w:b w:val="0"/>
          <w:noProof/>
          <w:lang w:val="fr-FR"/>
        </w:rPr>
        <w:drawing>
          <wp:inline distT="0" distB="0" distL="0" distR="0" wp14:anchorId="5172B552" wp14:editId="53F4D13C">
            <wp:extent cx="2306766" cy="138499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306766" cy="1384991"/>
                    </a:xfrm>
                    <a:prstGeom prst="rect">
                      <a:avLst/>
                    </a:prstGeom>
                    <a:noFill/>
                    <a:ln>
                      <a:noFill/>
                    </a:ln>
                  </pic:spPr>
                </pic:pic>
              </a:graphicData>
            </a:graphic>
          </wp:inline>
        </w:drawing>
      </w:r>
      <w:r>
        <w:rPr>
          <w:bCs/>
          <w:lang w:val="fr-FR"/>
        </w:rPr>
        <w:br/>
      </w:r>
    </w:p>
    <w:p w14:paraId="29B6F1F7" w14:textId="771BBB6C" w:rsidR="0049760D" w:rsidRPr="00016179" w:rsidRDefault="0049760D" w:rsidP="0049760D">
      <w:pPr>
        <w:pStyle w:val="BUbold"/>
        <w:rPr>
          <w:lang w:val="pl-PL"/>
        </w:rPr>
      </w:pPr>
      <w:r>
        <w:rPr>
          <w:bCs/>
          <w:lang w:val="fr-FR"/>
        </w:rPr>
        <w:t>W_pic_graphic_WPS102i-USA_00001</w:t>
      </w:r>
    </w:p>
    <w:p w14:paraId="74900F56" w14:textId="083EAD4F" w:rsidR="000849CD" w:rsidRPr="00016179" w:rsidRDefault="00A41C30" w:rsidP="00016179">
      <w:pPr>
        <w:pStyle w:val="BUnormal"/>
        <w:rPr>
          <w:lang w:val="pl-PL"/>
        </w:rPr>
      </w:pPr>
      <w:r>
        <w:rPr>
          <w:lang w:val="fr-FR"/>
        </w:rPr>
        <w:t xml:space="preserve">Avec l’alimentateur latéral Wirtgen WPS 102i, la machine à coffrage glissant en aval est alimentée en béton de manière optimale. </w:t>
      </w:r>
    </w:p>
    <w:p w14:paraId="04824B2F" w14:textId="49DE69DD" w:rsidR="00F74540" w:rsidRPr="00016179" w:rsidRDefault="00E15EBE" w:rsidP="006C0C87">
      <w:pPr>
        <w:pStyle w:val="Note"/>
        <w:rPr>
          <w:lang w:val="pl-PL"/>
        </w:rPr>
      </w:pPr>
      <w:r>
        <w:rPr>
          <w:iCs/>
          <w:lang w:val="fr-FR"/>
        </w:rPr>
        <w:lastRenderedPageBreak/>
        <w:t xml:space="preserve">Attention : ces photos sont destinées uniquement à une première visualisation. Pour une reproduction dans vos publications, merci d’utiliser les photos en résolution de 300 dpi, que vous pourrez télécharger sur le site web du </w:t>
      </w:r>
      <w:r>
        <w:rPr>
          <w:i w:val="0"/>
          <w:lang w:val="fr-FR"/>
        </w:rPr>
        <w:t>Wirtgen Group</w:t>
      </w:r>
      <w:r>
        <w:rPr>
          <w:iCs/>
          <w:lang w:val="fr-FR"/>
        </w:rPr>
        <w:t>.</w:t>
      </w:r>
    </w:p>
    <w:p w14:paraId="55931FB8" w14:textId="55A93E18" w:rsidR="00E15EBE" w:rsidRDefault="00E15EBE" w:rsidP="00E15EBE">
      <w:pPr>
        <w:pStyle w:val="Absatzberschrift"/>
        <w:rPr>
          <w:iCs/>
        </w:rPr>
      </w:pPr>
      <w:r>
        <w:rPr>
          <w:bCs/>
          <w:lang w:val="fr-FR"/>
        </w:rPr>
        <w:t>VOUS OBTIENDREZ DE PLUS AMPLES INFORMATIONS AUPRÈS DE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fr-FR"/>
        </w:rPr>
        <w:t>WIRTGEN GROUP</w:t>
      </w:r>
    </w:p>
    <w:p w14:paraId="6C2CE818" w14:textId="77777777" w:rsidR="00E15EBE" w:rsidRDefault="00E15EBE" w:rsidP="00E15EBE">
      <w:pPr>
        <w:pStyle w:val="Fuzeile1"/>
      </w:pPr>
      <w:r>
        <w:rPr>
          <w:bCs w:val="0"/>
          <w:iCs w:val="0"/>
          <w:lang w:val="fr-FR"/>
        </w:rPr>
        <w:t>Public Relations</w:t>
      </w:r>
    </w:p>
    <w:p w14:paraId="11D0C008" w14:textId="77777777" w:rsidR="00E15EBE" w:rsidRDefault="00E15EBE" w:rsidP="00E15EBE">
      <w:pPr>
        <w:pStyle w:val="Fuzeile1"/>
      </w:pPr>
      <w:r>
        <w:rPr>
          <w:bCs w:val="0"/>
          <w:iCs w:val="0"/>
          <w:lang w:val="fr-FR"/>
        </w:rPr>
        <w:t>Reinhard-Wirtgen-Straße 2</w:t>
      </w:r>
    </w:p>
    <w:p w14:paraId="1063A82F" w14:textId="77777777" w:rsidR="00E15EBE" w:rsidRDefault="00E15EBE" w:rsidP="00E15EBE">
      <w:pPr>
        <w:pStyle w:val="Fuzeile1"/>
      </w:pPr>
      <w:r>
        <w:rPr>
          <w:bCs w:val="0"/>
          <w:iCs w:val="0"/>
          <w:lang w:val="fr-FR"/>
        </w:rPr>
        <w:t>53578 Windhagen</w:t>
      </w:r>
    </w:p>
    <w:p w14:paraId="5A37CC2B" w14:textId="77777777" w:rsidR="00E15EBE" w:rsidRDefault="00E15EBE" w:rsidP="00E15EBE">
      <w:pPr>
        <w:pStyle w:val="Fuzeile1"/>
      </w:pPr>
      <w:r>
        <w:rPr>
          <w:bCs w:val="0"/>
          <w:iCs w:val="0"/>
          <w:lang w:val="fr-FR"/>
        </w:rPr>
        <w:t>Allemagne</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fr-FR"/>
        </w:rPr>
        <w:t xml:space="preserve">Téléphone : +49 (0) 2645 131 – 1966 </w:t>
      </w:r>
    </w:p>
    <w:p w14:paraId="65F4C38F" w14:textId="77777777" w:rsidR="00E15EBE" w:rsidRDefault="00E15EBE" w:rsidP="00E15EBE">
      <w:pPr>
        <w:pStyle w:val="Fuzeile1"/>
      </w:pPr>
      <w:r>
        <w:rPr>
          <w:bCs w:val="0"/>
          <w:iCs w:val="0"/>
          <w:lang w:val="fr-FR"/>
        </w:rPr>
        <w:t>Téléfax : +49 (0) 2645 131 – 499</w:t>
      </w:r>
    </w:p>
    <w:p w14:paraId="79FF3B7C" w14:textId="0C549577" w:rsidR="00E15EBE" w:rsidRDefault="00E15EBE" w:rsidP="00E15EBE">
      <w:pPr>
        <w:pStyle w:val="Fuzeile1"/>
      </w:pPr>
      <w:r>
        <w:rPr>
          <w:bCs w:val="0"/>
          <w:iCs w:val="0"/>
          <w:lang w:val="fr-FR"/>
        </w:rPr>
        <w:t>E-mail :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fr-FR"/>
        </w:rPr>
        <w:t>www.wirtgen-group.com</w:t>
      </w: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5B382" w14:textId="77777777" w:rsidR="00B57A7E" w:rsidRDefault="00B57A7E" w:rsidP="00E55534">
      <w:r>
        <w:separator/>
      </w:r>
    </w:p>
  </w:endnote>
  <w:endnote w:type="continuationSeparator" w:id="0">
    <w:p w14:paraId="28AFD0FB" w14:textId="77777777" w:rsidR="00B57A7E" w:rsidRDefault="00B57A7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DED3E" w14:textId="77777777" w:rsidR="00B57A7E" w:rsidRDefault="00B57A7E" w:rsidP="00E55534">
      <w:r>
        <w:separator/>
      </w:r>
    </w:p>
  </w:footnote>
  <w:footnote w:type="continuationSeparator" w:id="0">
    <w:p w14:paraId="06815523" w14:textId="77777777" w:rsidR="00B57A7E" w:rsidRDefault="00B57A7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1921C" w14:textId="1E6FFAEC" w:rsidR="00867EEF" w:rsidRDefault="00867EEF">
    <w:pPr>
      <w:pStyle w:val="Kopfzeile"/>
    </w:pPr>
    <w:r>
      <w:rPr>
        <w:noProof/>
        <w:lang w:val="fr-FR"/>
      </w:rPr>
      <mc:AlternateContent>
        <mc:Choice Requires="wps">
          <w:drawing>
            <wp:anchor distT="0" distB="0" distL="0" distR="0" simplePos="0" relativeHeight="251662336" behindDoc="0" locked="0" layoutInCell="1" allowOverlap="1" wp14:anchorId="48F9FF3C" wp14:editId="44E1C648">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90077E" w14:textId="7F7C2BC9"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8F9FF3C"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1B90077E" w14:textId="7F7C2BC9"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4734989" w:rsidR="00533132" w:rsidRPr="00533132" w:rsidRDefault="00867EEF" w:rsidP="00533132">
    <w:pPr>
      <w:pStyle w:val="Kopfzeile"/>
    </w:pPr>
    <w:r>
      <w:rPr>
        <w:noProof/>
        <w:lang w:val="fr-FR"/>
      </w:rPr>
      <mc:AlternateContent>
        <mc:Choice Requires="wps">
          <w:drawing>
            <wp:anchor distT="0" distB="0" distL="0" distR="0" simplePos="0" relativeHeight="251663360" behindDoc="0" locked="0" layoutInCell="1" allowOverlap="1" wp14:anchorId="05D91525" wp14:editId="3C6A2681">
              <wp:simplePos x="754380" y="449580"/>
              <wp:positionH relativeFrom="page">
                <wp:align>right</wp:align>
              </wp:positionH>
              <wp:positionV relativeFrom="page">
                <wp:align>top</wp:align>
              </wp:positionV>
              <wp:extent cx="443865" cy="443865"/>
              <wp:effectExtent l="0" t="0" r="0" b="16510"/>
              <wp:wrapNone/>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462AB7" w14:textId="00E187F3"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D91525" id="_x0000_t202" coordsize="21600,21600" o:spt="202" path="m,l,21600r21600,l21600,xe">
              <v:stroke joinstyle="miter"/>
              <v:path gradientshapeok="t" o:connecttype="rect"/>
            </v:shapetype>
            <v:shape id="Textfeld 10"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4A462AB7" w14:textId="00E187F3"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76BD1B" w:rsidR="00533132" w:rsidRDefault="00867EEF">
    <w:pPr>
      <w:pStyle w:val="Kopfzeile"/>
    </w:pPr>
    <w:r>
      <w:rPr>
        <w:noProof/>
        <w:lang w:val="fr-FR"/>
      </w:rPr>
      <mc:AlternateContent>
        <mc:Choice Requires="wps">
          <w:drawing>
            <wp:anchor distT="0" distB="0" distL="0" distR="0" simplePos="0" relativeHeight="251661312" behindDoc="0" locked="0" layoutInCell="1" allowOverlap="1" wp14:anchorId="70418009" wp14:editId="3ABE7886">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9A7D2D" w14:textId="3FC0EB28"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0418009"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69A7D2D" w14:textId="3FC0EB28"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497.6pt;height:1497.6pt" o:bullet="t">
        <v:imagedata r:id="rId1" o:title="AZ_04a"/>
      </v:shape>
    </w:pict>
  </w:numPicBullet>
  <w:numPicBullet w:numPicBulletId="1">
    <w:pict>
      <v:shape id="_x0000_i1073" type="#_x0000_t75" style="width:7.8pt;height:7.8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69503125">
    <w:abstractNumId w:val="9"/>
  </w:num>
  <w:num w:numId="2" w16cid:durableId="944506668">
    <w:abstractNumId w:val="9"/>
  </w:num>
  <w:num w:numId="3" w16cid:durableId="1842692627">
    <w:abstractNumId w:val="9"/>
  </w:num>
  <w:num w:numId="4" w16cid:durableId="838471315">
    <w:abstractNumId w:val="9"/>
  </w:num>
  <w:num w:numId="5" w16cid:durableId="517234661">
    <w:abstractNumId w:val="9"/>
  </w:num>
  <w:num w:numId="6" w16cid:durableId="958951814">
    <w:abstractNumId w:val="2"/>
  </w:num>
  <w:num w:numId="7" w16cid:durableId="1971130283">
    <w:abstractNumId w:val="2"/>
  </w:num>
  <w:num w:numId="8" w16cid:durableId="2136830619">
    <w:abstractNumId w:val="2"/>
  </w:num>
  <w:num w:numId="9" w16cid:durableId="851575618">
    <w:abstractNumId w:val="2"/>
  </w:num>
  <w:num w:numId="10" w16cid:durableId="738675160">
    <w:abstractNumId w:val="2"/>
  </w:num>
  <w:num w:numId="11" w16cid:durableId="1811045973">
    <w:abstractNumId w:val="6"/>
  </w:num>
  <w:num w:numId="12" w16cid:durableId="1888443076">
    <w:abstractNumId w:val="6"/>
  </w:num>
  <w:num w:numId="13" w16cid:durableId="1507086845">
    <w:abstractNumId w:val="4"/>
  </w:num>
  <w:num w:numId="14" w16cid:durableId="1583444494">
    <w:abstractNumId w:val="4"/>
  </w:num>
  <w:num w:numId="15" w16cid:durableId="1323040983">
    <w:abstractNumId w:val="4"/>
  </w:num>
  <w:num w:numId="16" w16cid:durableId="878976857">
    <w:abstractNumId w:val="4"/>
  </w:num>
  <w:num w:numId="17" w16cid:durableId="351151080">
    <w:abstractNumId w:val="4"/>
  </w:num>
  <w:num w:numId="18" w16cid:durableId="1014696181">
    <w:abstractNumId w:val="1"/>
  </w:num>
  <w:num w:numId="19" w16cid:durableId="854415901">
    <w:abstractNumId w:val="3"/>
  </w:num>
  <w:num w:numId="20" w16cid:durableId="1493179095">
    <w:abstractNumId w:val="8"/>
  </w:num>
  <w:num w:numId="21" w16cid:durableId="493116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38866876">
    <w:abstractNumId w:val="0"/>
  </w:num>
  <w:num w:numId="23" w16cid:durableId="11075032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91504945">
    <w:abstractNumId w:val="7"/>
  </w:num>
  <w:num w:numId="25" w16cid:durableId="19141930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48496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5DA"/>
    <w:rsid w:val="0000551D"/>
    <w:rsid w:val="0000745C"/>
    <w:rsid w:val="000148B3"/>
    <w:rsid w:val="000149AE"/>
    <w:rsid w:val="00016179"/>
    <w:rsid w:val="00034F90"/>
    <w:rsid w:val="00035126"/>
    <w:rsid w:val="00042106"/>
    <w:rsid w:val="0005285B"/>
    <w:rsid w:val="00055529"/>
    <w:rsid w:val="00062C3A"/>
    <w:rsid w:val="00066D09"/>
    <w:rsid w:val="000849CD"/>
    <w:rsid w:val="00086EF1"/>
    <w:rsid w:val="0009665C"/>
    <w:rsid w:val="000A0479"/>
    <w:rsid w:val="000A36D9"/>
    <w:rsid w:val="000A4C7D"/>
    <w:rsid w:val="000B582B"/>
    <w:rsid w:val="000D030C"/>
    <w:rsid w:val="000D15C3"/>
    <w:rsid w:val="000D350F"/>
    <w:rsid w:val="000E1BFD"/>
    <w:rsid w:val="000E24F8"/>
    <w:rsid w:val="000E5738"/>
    <w:rsid w:val="000F4EED"/>
    <w:rsid w:val="00103205"/>
    <w:rsid w:val="00112BA4"/>
    <w:rsid w:val="0011795C"/>
    <w:rsid w:val="0012026F"/>
    <w:rsid w:val="0012047F"/>
    <w:rsid w:val="001242A0"/>
    <w:rsid w:val="00130601"/>
    <w:rsid w:val="00132055"/>
    <w:rsid w:val="00146C3D"/>
    <w:rsid w:val="00153B47"/>
    <w:rsid w:val="00160C61"/>
    <w:rsid w:val="001613A6"/>
    <w:rsid w:val="001614F0"/>
    <w:rsid w:val="001616F4"/>
    <w:rsid w:val="0018021A"/>
    <w:rsid w:val="0018168B"/>
    <w:rsid w:val="00194FB1"/>
    <w:rsid w:val="001A2F63"/>
    <w:rsid w:val="001B16BB"/>
    <w:rsid w:val="001B34EE"/>
    <w:rsid w:val="001C1A3E"/>
    <w:rsid w:val="00200355"/>
    <w:rsid w:val="0020610B"/>
    <w:rsid w:val="0021351D"/>
    <w:rsid w:val="002354F0"/>
    <w:rsid w:val="00240220"/>
    <w:rsid w:val="00253A2E"/>
    <w:rsid w:val="002603EC"/>
    <w:rsid w:val="00277189"/>
    <w:rsid w:val="00282AFC"/>
    <w:rsid w:val="002834F2"/>
    <w:rsid w:val="00286C15"/>
    <w:rsid w:val="0029634D"/>
    <w:rsid w:val="002A5AA5"/>
    <w:rsid w:val="002C7542"/>
    <w:rsid w:val="002D065C"/>
    <w:rsid w:val="002D0780"/>
    <w:rsid w:val="002D2EE5"/>
    <w:rsid w:val="002D4F0A"/>
    <w:rsid w:val="002D63E6"/>
    <w:rsid w:val="002E765F"/>
    <w:rsid w:val="002E7E4E"/>
    <w:rsid w:val="002F108B"/>
    <w:rsid w:val="002F5818"/>
    <w:rsid w:val="002F70FD"/>
    <w:rsid w:val="003030DD"/>
    <w:rsid w:val="0030316D"/>
    <w:rsid w:val="003131ED"/>
    <w:rsid w:val="00316478"/>
    <w:rsid w:val="003179D0"/>
    <w:rsid w:val="00321DA7"/>
    <w:rsid w:val="0032774C"/>
    <w:rsid w:val="00332D28"/>
    <w:rsid w:val="0034191A"/>
    <w:rsid w:val="0034306D"/>
    <w:rsid w:val="003431D0"/>
    <w:rsid w:val="00343CC7"/>
    <w:rsid w:val="003576D9"/>
    <w:rsid w:val="0036561D"/>
    <w:rsid w:val="003665BE"/>
    <w:rsid w:val="00384A08"/>
    <w:rsid w:val="00387E6F"/>
    <w:rsid w:val="00392541"/>
    <w:rsid w:val="0039546E"/>
    <w:rsid w:val="00395EAB"/>
    <w:rsid w:val="003967E5"/>
    <w:rsid w:val="003A753A"/>
    <w:rsid w:val="003B3803"/>
    <w:rsid w:val="003C2A71"/>
    <w:rsid w:val="003C7032"/>
    <w:rsid w:val="003E07FA"/>
    <w:rsid w:val="003E1CB6"/>
    <w:rsid w:val="003E3CF6"/>
    <w:rsid w:val="003E759F"/>
    <w:rsid w:val="003E7853"/>
    <w:rsid w:val="003E7E3B"/>
    <w:rsid w:val="003F05A8"/>
    <w:rsid w:val="003F57AB"/>
    <w:rsid w:val="003F7D1E"/>
    <w:rsid w:val="00400FD9"/>
    <w:rsid w:val="004016F7"/>
    <w:rsid w:val="0040297D"/>
    <w:rsid w:val="00403373"/>
    <w:rsid w:val="00406C81"/>
    <w:rsid w:val="00412545"/>
    <w:rsid w:val="0041475A"/>
    <w:rsid w:val="00417237"/>
    <w:rsid w:val="00430BB0"/>
    <w:rsid w:val="00467F3C"/>
    <w:rsid w:val="0047498D"/>
    <w:rsid w:val="00476100"/>
    <w:rsid w:val="00487BFC"/>
    <w:rsid w:val="004917E2"/>
    <w:rsid w:val="0049760D"/>
    <w:rsid w:val="004B55EA"/>
    <w:rsid w:val="004C1967"/>
    <w:rsid w:val="004D23D0"/>
    <w:rsid w:val="004D2BE0"/>
    <w:rsid w:val="004E6EF5"/>
    <w:rsid w:val="005001DF"/>
    <w:rsid w:val="00506409"/>
    <w:rsid w:val="00530E32"/>
    <w:rsid w:val="00533132"/>
    <w:rsid w:val="00537210"/>
    <w:rsid w:val="00550064"/>
    <w:rsid w:val="005649F4"/>
    <w:rsid w:val="005710C8"/>
    <w:rsid w:val="005711A3"/>
    <w:rsid w:val="00571A5C"/>
    <w:rsid w:val="00573B2B"/>
    <w:rsid w:val="00576E80"/>
    <w:rsid w:val="005776E9"/>
    <w:rsid w:val="00587AD9"/>
    <w:rsid w:val="005909A8"/>
    <w:rsid w:val="005A4F04"/>
    <w:rsid w:val="005B5793"/>
    <w:rsid w:val="005C6B30"/>
    <w:rsid w:val="005C71EC"/>
    <w:rsid w:val="005E2349"/>
    <w:rsid w:val="005E764C"/>
    <w:rsid w:val="005E7F7D"/>
    <w:rsid w:val="00602094"/>
    <w:rsid w:val="006063D4"/>
    <w:rsid w:val="00612617"/>
    <w:rsid w:val="00623910"/>
    <w:rsid w:val="00623B37"/>
    <w:rsid w:val="006330A2"/>
    <w:rsid w:val="00642EB6"/>
    <w:rsid w:val="006433E2"/>
    <w:rsid w:val="00651E5D"/>
    <w:rsid w:val="00654E06"/>
    <w:rsid w:val="00674135"/>
    <w:rsid w:val="00677F11"/>
    <w:rsid w:val="00682B1A"/>
    <w:rsid w:val="00690D7C"/>
    <w:rsid w:val="00690DFE"/>
    <w:rsid w:val="006B3EEC"/>
    <w:rsid w:val="006B7DE7"/>
    <w:rsid w:val="006C0C87"/>
    <w:rsid w:val="006D7EAC"/>
    <w:rsid w:val="006E0104"/>
    <w:rsid w:val="006F0D27"/>
    <w:rsid w:val="006F7602"/>
    <w:rsid w:val="00701521"/>
    <w:rsid w:val="00722A17"/>
    <w:rsid w:val="00723F4F"/>
    <w:rsid w:val="00733423"/>
    <w:rsid w:val="00754B80"/>
    <w:rsid w:val="00755AE0"/>
    <w:rsid w:val="0075761B"/>
    <w:rsid w:val="00757B83"/>
    <w:rsid w:val="00774358"/>
    <w:rsid w:val="00791A69"/>
    <w:rsid w:val="0079462A"/>
    <w:rsid w:val="00794830"/>
    <w:rsid w:val="00796FA6"/>
    <w:rsid w:val="00797CAA"/>
    <w:rsid w:val="007A2B6F"/>
    <w:rsid w:val="007A6BD2"/>
    <w:rsid w:val="007C2658"/>
    <w:rsid w:val="007C705B"/>
    <w:rsid w:val="007D59A2"/>
    <w:rsid w:val="007D7FED"/>
    <w:rsid w:val="007E20D0"/>
    <w:rsid w:val="007E3DAB"/>
    <w:rsid w:val="008053B3"/>
    <w:rsid w:val="00820315"/>
    <w:rsid w:val="00823073"/>
    <w:rsid w:val="0082316D"/>
    <w:rsid w:val="00832921"/>
    <w:rsid w:val="00834472"/>
    <w:rsid w:val="00836A5D"/>
    <w:rsid w:val="008423B1"/>
    <w:rsid w:val="008427F2"/>
    <w:rsid w:val="00843B45"/>
    <w:rsid w:val="0084571C"/>
    <w:rsid w:val="00862A6B"/>
    <w:rsid w:val="00863129"/>
    <w:rsid w:val="00866830"/>
    <w:rsid w:val="00867EEF"/>
    <w:rsid w:val="00870ACE"/>
    <w:rsid w:val="00873125"/>
    <w:rsid w:val="008755E5"/>
    <w:rsid w:val="00881568"/>
    <w:rsid w:val="00881E44"/>
    <w:rsid w:val="008833AA"/>
    <w:rsid w:val="00892F6F"/>
    <w:rsid w:val="00894DC6"/>
    <w:rsid w:val="00896F7E"/>
    <w:rsid w:val="008C2A29"/>
    <w:rsid w:val="008C2DB2"/>
    <w:rsid w:val="008D770E"/>
    <w:rsid w:val="0090337E"/>
    <w:rsid w:val="009049D8"/>
    <w:rsid w:val="00910609"/>
    <w:rsid w:val="00913511"/>
    <w:rsid w:val="00915841"/>
    <w:rsid w:val="00917B5E"/>
    <w:rsid w:val="009328FA"/>
    <w:rsid w:val="00936A78"/>
    <w:rsid w:val="009375E1"/>
    <w:rsid w:val="00950521"/>
    <w:rsid w:val="00952853"/>
    <w:rsid w:val="009646E4"/>
    <w:rsid w:val="00977EC3"/>
    <w:rsid w:val="00984641"/>
    <w:rsid w:val="0098631D"/>
    <w:rsid w:val="009B17A9"/>
    <w:rsid w:val="009B211F"/>
    <w:rsid w:val="009B7C05"/>
    <w:rsid w:val="009C2378"/>
    <w:rsid w:val="009C5A77"/>
    <w:rsid w:val="009C5D99"/>
    <w:rsid w:val="009D016F"/>
    <w:rsid w:val="009E251D"/>
    <w:rsid w:val="009E5E67"/>
    <w:rsid w:val="009F10A8"/>
    <w:rsid w:val="009F715C"/>
    <w:rsid w:val="00A02F49"/>
    <w:rsid w:val="00A12EA4"/>
    <w:rsid w:val="00A171F4"/>
    <w:rsid w:val="00A1772D"/>
    <w:rsid w:val="00A177B2"/>
    <w:rsid w:val="00A24EFC"/>
    <w:rsid w:val="00A27829"/>
    <w:rsid w:val="00A41C30"/>
    <w:rsid w:val="00A46F1E"/>
    <w:rsid w:val="00A506A6"/>
    <w:rsid w:val="00A62E8D"/>
    <w:rsid w:val="00A6302F"/>
    <w:rsid w:val="00A66B3F"/>
    <w:rsid w:val="00A67C3D"/>
    <w:rsid w:val="00A82395"/>
    <w:rsid w:val="00A977CE"/>
    <w:rsid w:val="00AA0DF7"/>
    <w:rsid w:val="00AB52F9"/>
    <w:rsid w:val="00AC5CBA"/>
    <w:rsid w:val="00AD131F"/>
    <w:rsid w:val="00AD159A"/>
    <w:rsid w:val="00AD32D5"/>
    <w:rsid w:val="00AD70E4"/>
    <w:rsid w:val="00AF3B3A"/>
    <w:rsid w:val="00AF4E8E"/>
    <w:rsid w:val="00AF6569"/>
    <w:rsid w:val="00B06265"/>
    <w:rsid w:val="00B43F2B"/>
    <w:rsid w:val="00B5232A"/>
    <w:rsid w:val="00B57A7E"/>
    <w:rsid w:val="00B60ED1"/>
    <w:rsid w:val="00B62CF5"/>
    <w:rsid w:val="00B663E4"/>
    <w:rsid w:val="00B71900"/>
    <w:rsid w:val="00B85705"/>
    <w:rsid w:val="00B874DC"/>
    <w:rsid w:val="00B90F78"/>
    <w:rsid w:val="00BA15B3"/>
    <w:rsid w:val="00BA7ED8"/>
    <w:rsid w:val="00BD1058"/>
    <w:rsid w:val="00BD25D1"/>
    <w:rsid w:val="00BD5391"/>
    <w:rsid w:val="00BD764C"/>
    <w:rsid w:val="00BF1352"/>
    <w:rsid w:val="00BF56B2"/>
    <w:rsid w:val="00BF5B78"/>
    <w:rsid w:val="00C055AB"/>
    <w:rsid w:val="00C11F95"/>
    <w:rsid w:val="00C136DF"/>
    <w:rsid w:val="00C17501"/>
    <w:rsid w:val="00C32DB1"/>
    <w:rsid w:val="00C35211"/>
    <w:rsid w:val="00C40627"/>
    <w:rsid w:val="00C43EAF"/>
    <w:rsid w:val="00C457C3"/>
    <w:rsid w:val="00C644CA"/>
    <w:rsid w:val="00C658FC"/>
    <w:rsid w:val="00C73005"/>
    <w:rsid w:val="00C7713F"/>
    <w:rsid w:val="00C84264"/>
    <w:rsid w:val="00C85E18"/>
    <w:rsid w:val="00C95AF1"/>
    <w:rsid w:val="00C96E9F"/>
    <w:rsid w:val="00CA4A09"/>
    <w:rsid w:val="00CC5A63"/>
    <w:rsid w:val="00CC787C"/>
    <w:rsid w:val="00CD75CF"/>
    <w:rsid w:val="00CF36C9"/>
    <w:rsid w:val="00D00EC4"/>
    <w:rsid w:val="00D166AC"/>
    <w:rsid w:val="00D36BA2"/>
    <w:rsid w:val="00D37CF4"/>
    <w:rsid w:val="00D4487C"/>
    <w:rsid w:val="00D636C5"/>
    <w:rsid w:val="00D63D33"/>
    <w:rsid w:val="00D73352"/>
    <w:rsid w:val="00D86C98"/>
    <w:rsid w:val="00D915F8"/>
    <w:rsid w:val="00D935C3"/>
    <w:rsid w:val="00DA0266"/>
    <w:rsid w:val="00DA477E"/>
    <w:rsid w:val="00DB238E"/>
    <w:rsid w:val="00DB4BB0"/>
    <w:rsid w:val="00DC0879"/>
    <w:rsid w:val="00DE461D"/>
    <w:rsid w:val="00E04039"/>
    <w:rsid w:val="00E068C2"/>
    <w:rsid w:val="00E14608"/>
    <w:rsid w:val="00E15EBE"/>
    <w:rsid w:val="00E21E67"/>
    <w:rsid w:val="00E30EBF"/>
    <w:rsid w:val="00E316C0"/>
    <w:rsid w:val="00E31E03"/>
    <w:rsid w:val="00E51170"/>
    <w:rsid w:val="00E52D70"/>
    <w:rsid w:val="00E55534"/>
    <w:rsid w:val="00E70B50"/>
    <w:rsid w:val="00E7116D"/>
    <w:rsid w:val="00E72429"/>
    <w:rsid w:val="00E76826"/>
    <w:rsid w:val="00E77536"/>
    <w:rsid w:val="00E914D1"/>
    <w:rsid w:val="00E928C2"/>
    <w:rsid w:val="00E94469"/>
    <w:rsid w:val="00E960D8"/>
    <w:rsid w:val="00EA0000"/>
    <w:rsid w:val="00EB1218"/>
    <w:rsid w:val="00EB5FCA"/>
    <w:rsid w:val="00ED271C"/>
    <w:rsid w:val="00EF1BF8"/>
    <w:rsid w:val="00F048D4"/>
    <w:rsid w:val="00F10315"/>
    <w:rsid w:val="00F202CE"/>
    <w:rsid w:val="00F20920"/>
    <w:rsid w:val="00F23212"/>
    <w:rsid w:val="00F33B16"/>
    <w:rsid w:val="00F353EA"/>
    <w:rsid w:val="00F36C27"/>
    <w:rsid w:val="00F44BEF"/>
    <w:rsid w:val="00F55EF9"/>
    <w:rsid w:val="00F56318"/>
    <w:rsid w:val="00F67C95"/>
    <w:rsid w:val="00F72748"/>
    <w:rsid w:val="00F74540"/>
    <w:rsid w:val="00F75B79"/>
    <w:rsid w:val="00F82525"/>
    <w:rsid w:val="00F91AC4"/>
    <w:rsid w:val="00F95959"/>
    <w:rsid w:val="00F97FEA"/>
    <w:rsid w:val="00FA1594"/>
    <w:rsid w:val="00FB60E1"/>
    <w:rsid w:val="00FD3768"/>
    <w:rsid w:val="00FD4AC6"/>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89820142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730</Words>
  <Characters>4604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5324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Steffens Kirsten</cp:lastModifiedBy>
  <cp:revision>12</cp:revision>
  <cp:lastPrinted>2021-12-15T11:24:00Z</cp:lastPrinted>
  <dcterms:created xsi:type="dcterms:W3CDTF">2023-12-08T14:38:00Z</dcterms:created>
  <dcterms:modified xsi:type="dcterms:W3CDTF">2023-12-18T07:46:00Z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2023-12-07T18:00:26Z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123bc722-fcd1-4e71-9b94-383b78942eb4</vt:lpwstr>
  </property>
  <property fmtid="{D5CDD505-2E9C-101B-9397-08002B2CF9AE}" pid="11" name="MSIP_Label_df1a195f-122b-42dc-a2d3-71a1903dcdac_ContentBits">
    <vt:lpwstr>1</vt:lpwstr>
  </property>
</Properties>
</file>