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D5CB1" w14:textId="41367A0A" w:rsidR="00BC6A69" w:rsidRDefault="00BC6A69" w:rsidP="00B17EB7">
      <w:pPr>
        <w:rPr>
          <w:bCs/>
          <w:spacing w:val="-10"/>
          <w:kern w:val="28"/>
          <w:sz w:val="40"/>
          <w:szCs w:val="40"/>
          <w:lang w:eastAsia="zh-CN"/>
        </w:rPr>
      </w:pPr>
      <w:bookmarkStart w:id="0" w:name="_Hlk92878114"/>
      <w:r w:rsidRPr="00BC6A69">
        <w:rPr>
          <w:rFonts w:eastAsiaTheme="majorEastAsia" w:cstheme="majorBidi" w:hint="eastAsia"/>
          <w:b/>
          <w:bCs/>
          <w:spacing w:val="-10"/>
          <w:kern w:val="28"/>
          <w:sz w:val="40"/>
          <w:szCs w:val="40"/>
          <w:lang w:eastAsia="zh-CN"/>
        </w:rPr>
        <w:t>维特根集团在</w:t>
      </w:r>
      <w:r w:rsidR="00AD71EF">
        <w:rPr>
          <w:rFonts w:eastAsiaTheme="majorEastAsia" w:cstheme="majorBidi" w:hint="eastAsia"/>
          <w:b/>
          <w:bCs/>
          <w:spacing w:val="-10"/>
          <w:kern w:val="28"/>
          <w:sz w:val="40"/>
          <w:szCs w:val="40"/>
          <w:lang w:eastAsia="zh-CN"/>
        </w:rPr>
        <w:t>国际</w:t>
      </w:r>
      <w:r w:rsidRPr="00BC6A69">
        <w:rPr>
          <w:rFonts w:eastAsiaTheme="majorEastAsia" w:cstheme="majorBidi" w:hint="eastAsia"/>
          <w:b/>
          <w:bCs/>
          <w:spacing w:val="-10"/>
          <w:kern w:val="28"/>
          <w:sz w:val="40"/>
          <w:szCs w:val="40"/>
          <w:lang w:eastAsia="zh-CN"/>
        </w:rPr>
        <w:t>沥青世界</w:t>
      </w:r>
      <w:r w:rsidRPr="00BC6A69">
        <w:rPr>
          <w:rFonts w:eastAsiaTheme="majorEastAsia" w:cstheme="majorBidi"/>
          <w:b/>
          <w:bCs/>
          <w:spacing w:val="-10"/>
          <w:kern w:val="28"/>
          <w:sz w:val="40"/>
          <w:szCs w:val="40"/>
          <w:lang w:eastAsia="zh-CN"/>
        </w:rPr>
        <w:t xml:space="preserve"> 2022 </w:t>
      </w:r>
      <w:r w:rsidRPr="00BC6A69">
        <w:rPr>
          <w:rFonts w:eastAsiaTheme="majorEastAsia" w:cstheme="majorBidi" w:hint="eastAsia"/>
          <w:b/>
          <w:bCs/>
          <w:spacing w:val="-10"/>
          <w:kern w:val="28"/>
          <w:sz w:val="40"/>
          <w:szCs w:val="40"/>
          <w:lang w:eastAsia="zh-CN"/>
        </w:rPr>
        <w:t>展示了筑养路领域的可</w:t>
      </w:r>
      <w:r w:rsidRPr="00EA6000">
        <w:rPr>
          <w:rFonts w:hint="eastAsia"/>
          <w:bCs/>
          <w:spacing w:val="-10"/>
          <w:kern w:val="28"/>
          <w:sz w:val="40"/>
          <w:szCs w:val="40"/>
          <w:lang w:eastAsia="zh-CN"/>
        </w:rPr>
        <w:t>持续发展解决方案</w:t>
      </w:r>
    </w:p>
    <w:p w14:paraId="61F499F0" w14:textId="77777777" w:rsidR="00B17EB7" w:rsidRPr="00B17EB7" w:rsidRDefault="00B17EB7" w:rsidP="00B17EB7">
      <w:pPr>
        <w:rPr>
          <w:rFonts w:eastAsiaTheme="majorEastAsia" w:cstheme="majorBidi"/>
          <w:b/>
          <w:bCs/>
          <w:spacing w:val="-10"/>
          <w:kern w:val="28"/>
          <w:sz w:val="40"/>
          <w:szCs w:val="40"/>
          <w:lang w:eastAsia="zh-CN"/>
        </w:rPr>
      </w:pPr>
    </w:p>
    <w:bookmarkEnd w:id="0"/>
    <w:p w14:paraId="4346469D" w14:textId="62A88877" w:rsidR="00BC6A69" w:rsidRDefault="00BC6A69" w:rsidP="002D2649">
      <w:pPr>
        <w:pStyle w:val="Subhead"/>
        <w:jc w:val="both"/>
        <w:rPr>
          <w:lang w:eastAsia="zh-CN"/>
        </w:rPr>
      </w:pPr>
      <w:r w:rsidRPr="00BC6A69">
        <w:rPr>
          <w:lang w:eastAsia="zh-CN"/>
        </w:rPr>
        <w:t xml:space="preserve">W 120 Fi </w:t>
      </w:r>
      <w:r w:rsidRPr="00BC6A69">
        <w:rPr>
          <w:rFonts w:hint="eastAsia"/>
          <w:lang w:eastAsia="zh-CN"/>
        </w:rPr>
        <w:t>中型铣刨机的全球首秀是我们与约翰迪尔共享展位的最大亮点</w:t>
      </w:r>
    </w:p>
    <w:p w14:paraId="7A9ACFB8" w14:textId="1BB8F910" w:rsidR="00113878" w:rsidRPr="006236DC" w:rsidRDefault="00BC6A69" w:rsidP="002D2649">
      <w:pPr>
        <w:pStyle w:val="Teaser"/>
        <w:rPr>
          <w:lang w:eastAsia="zh-CN"/>
        </w:rPr>
      </w:pPr>
      <w:r w:rsidRPr="006236DC">
        <w:rPr>
          <w:rFonts w:ascii="SimSun" w:eastAsia="SimSun" w:hAnsi="SimSun" w:cs="SimSun" w:hint="eastAsia"/>
          <w:lang w:eastAsia="zh-CN"/>
        </w:rPr>
        <w:t>凭借来自维特根、福格勒、悍马、克磊镘和约翰迪尔的</w:t>
      </w:r>
      <w:r w:rsidRPr="00EA6000">
        <w:rPr>
          <w:lang w:eastAsia="zh-CN"/>
        </w:rPr>
        <w:t xml:space="preserve"> 11 </w:t>
      </w:r>
      <w:r w:rsidRPr="006236DC">
        <w:rPr>
          <w:rFonts w:ascii="SimSun" w:eastAsia="SimSun" w:hAnsi="SimSun" w:cs="SimSun" w:hint="eastAsia"/>
          <w:lang w:eastAsia="zh-CN"/>
        </w:rPr>
        <w:t>款展品，我们向参加</w:t>
      </w:r>
      <w:r w:rsidR="00AD71EF">
        <w:rPr>
          <w:rFonts w:ascii="SimSun" w:eastAsia="SimSun" w:hAnsi="SimSun" w:cs="SimSun" w:hint="eastAsia"/>
          <w:lang w:eastAsia="zh-CN"/>
        </w:rPr>
        <w:t>国际</w:t>
      </w:r>
      <w:r w:rsidRPr="006236DC">
        <w:rPr>
          <w:rFonts w:ascii="SimSun" w:eastAsia="SimSun" w:hAnsi="SimSun" w:cs="SimSun" w:hint="eastAsia"/>
          <w:lang w:eastAsia="zh-CN"/>
        </w:rPr>
        <w:t>沥青世界展会的专业观众们展示了用于整个筑养路施工过程的以市场为导向的全面解决方案。我们本次展会的展示重点是经济性和可持续发展性。</w:t>
      </w:r>
    </w:p>
    <w:p w14:paraId="0D507135" w14:textId="77777777" w:rsidR="00BC6A69" w:rsidRPr="0091158F" w:rsidRDefault="00BC6A69" w:rsidP="002D2649">
      <w:pPr>
        <w:pStyle w:val="Standardabsatz"/>
        <w:spacing w:after="0"/>
        <w:rPr>
          <w:rFonts w:ascii="SimSun" w:eastAsia="SimSun" w:hAnsi="SimSun" w:cs="SimSun"/>
          <w:lang w:eastAsia="zh-CN"/>
        </w:rPr>
      </w:pPr>
      <w:r>
        <w:rPr>
          <w:rFonts w:ascii="SimSun" w:eastAsia="SimSun" w:hAnsi="SimSun" w:cs="SimSun" w:hint="eastAsia"/>
          <w:lang w:eastAsia="zh-CN"/>
        </w:rPr>
        <w:t xml:space="preserve">作为冷铣刨机专家，维特根展现出了一如既往的创新实力，携全新一代 </w:t>
      </w:r>
      <w:r w:rsidRPr="00F13C33">
        <w:rPr>
          <w:lang w:eastAsia="zh-CN"/>
        </w:rPr>
        <w:t>W 120 Fi</w:t>
      </w:r>
      <w:r>
        <w:rPr>
          <w:lang w:eastAsia="zh-CN"/>
        </w:rPr>
        <w:t xml:space="preserve"> </w:t>
      </w:r>
      <w:r>
        <w:rPr>
          <w:rFonts w:ascii="SimSun" w:eastAsia="SimSun" w:hAnsi="SimSun" w:cs="SimSun" w:hint="eastAsia"/>
          <w:lang w:eastAsia="zh-CN"/>
        </w:rPr>
        <w:t xml:space="preserve">中型冷铣刨机首次亮相。来自 </w:t>
      </w:r>
      <w:r w:rsidRPr="00F13C33">
        <w:rPr>
          <w:lang w:eastAsia="zh-CN"/>
        </w:rPr>
        <w:t>F</w:t>
      </w:r>
      <w:r>
        <w:rPr>
          <w:rFonts w:ascii="SimSun" w:eastAsia="SimSun" w:hAnsi="SimSun" w:cs="SimSun"/>
          <w:lang w:eastAsia="zh-CN"/>
        </w:rPr>
        <w:t xml:space="preserve"> </w:t>
      </w:r>
      <w:r>
        <w:rPr>
          <w:rFonts w:ascii="SimSun" w:eastAsia="SimSun" w:hAnsi="SimSun" w:cs="SimSun" w:hint="eastAsia"/>
          <w:lang w:eastAsia="zh-CN"/>
        </w:rPr>
        <w:t>系列大型铣刨机的可靠技术已经成功运用于</w:t>
      </w:r>
      <w:r w:rsidRPr="005B7FA3">
        <w:rPr>
          <w:rFonts w:hint="eastAsia"/>
          <w:lang w:eastAsia="zh-CN"/>
        </w:rPr>
        <w:t xml:space="preserve"> </w:t>
      </w:r>
      <w:r w:rsidRPr="005B7FA3">
        <w:rPr>
          <w:lang w:eastAsia="zh-CN"/>
        </w:rPr>
        <w:t xml:space="preserve">1 </w:t>
      </w:r>
      <w:r>
        <w:rPr>
          <w:rFonts w:ascii="SimSun" w:eastAsia="SimSun" w:hAnsi="SimSun" w:cs="SimSun" w:hint="eastAsia"/>
          <w:lang w:eastAsia="zh-CN"/>
        </w:rPr>
        <w:t xml:space="preserve">米档铣刨机上。尤其是数字化 </w:t>
      </w:r>
      <w:r>
        <w:rPr>
          <w:lang w:eastAsia="zh-CN"/>
        </w:rPr>
        <w:t xml:space="preserve">Mill Assist </w:t>
      </w:r>
      <w:r>
        <w:rPr>
          <w:rFonts w:ascii="SimSun" w:eastAsia="SimSun" w:hAnsi="SimSun" w:cs="SimSun" w:hint="eastAsia"/>
          <w:lang w:eastAsia="zh-CN"/>
        </w:rPr>
        <w:t xml:space="preserve">铣刨助手，维特根铣刨产量跟踪记录系统以及 </w:t>
      </w:r>
      <w:r>
        <w:rPr>
          <w:lang w:eastAsia="zh-CN"/>
        </w:rPr>
        <w:t xml:space="preserve">Level Pro Active </w:t>
      </w:r>
      <w:r>
        <w:rPr>
          <w:rFonts w:ascii="SimSun" w:eastAsia="SimSun" w:hAnsi="SimSun" w:cs="SimSun" w:hint="eastAsia"/>
          <w:lang w:eastAsia="zh-CN"/>
        </w:rPr>
        <w:t>自动找平系统。</w:t>
      </w:r>
    </w:p>
    <w:p w14:paraId="3D8A37C9" w14:textId="77777777" w:rsidR="00BC6A69" w:rsidRPr="00BC6A69" w:rsidRDefault="00BC6A69" w:rsidP="002D2649">
      <w:pPr>
        <w:pStyle w:val="Standardabsatz"/>
        <w:spacing w:after="0"/>
        <w:rPr>
          <w:rFonts w:eastAsiaTheme="minorEastAsia"/>
          <w:lang w:eastAsia="zh-CN"/>
        </w:rPr>
      </w:pPr>
    </w:p>
    <w:p w14:paraId="2AEAB3F3" w14:textId="3A41F247" w:rsidR="006236DC" w:rsidRPr="006236DC" w:rsidRDefault="00BC6A69" w:rsidP="002D2649">
      <w:pPr>
        <w:pStyle w:val="Standardabsatz"/>
        <w:rPr>
          <w:rFonts w:eastAsiaTheme="minorEastAsia"/>
          <w:lang w:eastAsia="zh-CN"/>
        </w:rPr>
      </w:pPr>
      <w:r w:rsidRPr="007402FA">
        <w:rPr>
          <w:rFonts w:ascii="SimSun" w:eastAsia="SimSun" w:hAnsi="SimSun" w:cs="SimSun" w:hint="eastAsia"/>
          <w:lang w:eastAsia="zh-CN"/>
        </w:rPr>
        <w:t>福格勒先进的摊铺机，以其高效性和简单的操作著称，来访宾客可以近距离的仔细观看到超级</w:t>
      </w:r>
      <w:r w:rsidRPr="007402FA">
        <w:rPr>
          <w:rFonts w:hint="eastAsia"/>
          <w:lang w:eastAsia="zh-CN"/>
        </w:rPr>
        <w:t xml:space="preserve"> 700 </w:t>
      </w:r>
      <w:proofErr w:type="spellStart"/>
      <w:r w:rsidRPr="007402FA">
        <w:rPr>
          <w:rFonts w:hint="eastAsia"/>
          <w:lang w:eastAsia="zh-CN"/>
        </w:rPr>
        <w:t>i</w:t>
      </w:r>
      <w:proofErr w:type="spellEnd"/>
      <w:r w:rsidRPr="007402FA">
        <w:rPr>
          <w:rFonts w:hint="eastAsia"/>
          <w:lang w:eastAsia="zh-CN"/>
        </w:rPr>
        <w:t xml:space="preserve"> </w:t>
      </w:r>
      <w:r w:rsidRPr="007402FA">
        <w:rPr>
          <w:rFonts w:ascii="SimSun" w:eastAsia="SimSun" w:hAnsi="SimSun" w:cs="SimSun" w:hint="eastAsia"/>
          <w:lang w:eastAsia="zh-CN"/>
        </w:rPr>
        <w:t>小型摊铺机，这款摊铺机装配了基本宽度仅有</w:t>
      </w:r>
      <w:r w:rsidRPr="007402FA">
        <w:rPr>
          <w:rFonts w:hint="eastAsia"/>
          <w:lang w:eastAsia="zh-CN"/>
        </w:rPr>
        <w:t xml:space="preserve"> 1.1 m </w:t>
      </w:r>
      <w:r w:rsidRPr="007402FA">
        <w:rPr>
          <w:rFonts w:ascii="SimSun" w:eastAsia="SimSun" w:hAnsi="SimSun" w:cs="SimSun" w:hint="eastAsia"/>
          <w:lang w:eastAsia="zh-CN"/>
        </w:rPr>
        <w:t>的</w:t>
      </w:r>
      <w:r w:rsidRPr="007402FA">
        <w:rPr>
          <w:rFonts w:hint="eastAsia"/>
          <w:lang w:eastAsia="zh-CN"/>
        </w:rPr>
        <w:t xml:space="preserve">AB 200 </w:t>
      </w:r>
      <w:r w:rsidRPr="007402FA">
        <w:rPr>
          <w:rFonts w:ascii="SimSun" w:eastAsia="SimSun" w:hAnsi="SimSun" w:cs="SimSun" w:hint="eastAsia"/>
          <w:lang w:eastAsia="zh-CN"/>
        </w:rPr>
        <w:t>型熨平板，它是福格勒最小的一款液压伸缩式熨平板。而装备喷洒模块的超级</w:t>
      </w:r>
      <w:r w:rsidRPr="007402FA">
        <w:rPr>
          <w:rFonts w:hint="eastAsia"/>
          <w:lang w:eastAsia="zh-CN"/>
        </w:rPr>
        <w:t xml:space="preserve"> 1800-3i </w:t>
      </w:r>
      <w:r w:rsidRPr="007402FA">
        <w:rPr>
          <w:rFonts w:ascii="SimSun" w:eastAsia="SimSun" w:hAnsi="SimSun" w:cs="SimSun" w:hint="eastAsia"/>
          <w:lang w:eastAsia="zh-CN"/>
        </w:rPr>
        <w:t>摊铺机是特殊机型的代表，它使得乳化沥青的喷洒和热混合料的摊铺一次性完成，经济高效。再者，就是超级</w:t>
      </w:r>
      <w:r w:rsidRPr="007402FA">
        <w:rPr>
          <w:rFonts w:hint="eastAsia"/>
          <w:lang w:eastAsia="zh-CN"/>
        </w:rPr>
        <w:t xml:space="preserve"> 2000-3i</w:t>
      </w:r>
      <w:r w:rsidRPr="007402FA">
        <w:rPr>
          <w:rFonts w:ascii="SimSun" w:eastAsia="SimSun" w:hAnsi="SimSun" w:cs="SimSun" w:hint="eastAsia"/>
          <w:lang w:eastAsia="zh-CN"/>
        </w:rPr>
        <w:t>摊铺机，它是专为北美市场研发的，装配了</w:t>
      </w:r>
      <w:r w:rsidRPr="007402FA">
        <w:rPr>
          <w:rFonts w:hint="eastAsia"/>
          <w:lang w:eastAsia="zh-CN"/>
        </w:rPr>
        <w:t xml:space="preserve">VF 600 </w:t>
      </w:r>
      <w:r w:rsidRPr="007402FA">
        <w:rPr>
          <w:rFonts w:ascii="SimSun" w:eastAsia="SimSun" w:hAnsi="SimSun" w:cs="SimSun" w:hint="eastAsia"/>
          <w:lang w:eastAsia="zh-CN"/>
        </w:rPr>
        <w:t>液压伸缩式熨平板（加长块安装在前面），在展会上趋之若鹜。</w:t>
      </w:r>
    </w:p>
    <w:p w14:paraId="0E3D7026" w14:textId="77777777" w:rsidR="006236DC" w:rsidRDefault="006236DC" w:rsidP="002D2649">
      <w:pPr>
        <w:pStyle w:val="Standardabsatz"/>
        <w:rPr>
          <w:lang w:eastAsia="zh-CN"/>
        </w:rPr>
      </w:pPr>
      <w:r>
        <w:rPr>
          <w:rFonts w:ascii="SimSun" w:eastAsia="SimSun" w:hAnsi="SimSun" w:cs="SimSun" w:hint="eastAsia"/>
          <w:lang w:eastAsia="zh-CN"/>
        </w:rPr>
        <w:t>悍马压路机产品范围广泛，本次向来访宾客呈现了</w:t>
      </w:r>
      <w:r>
        <w:rPr>
          <w:rFonts w:ascii="SimSun" w:eastAsia="SimSun" w:hAnsi="SimSun" w:cs="SimSun"/>
          <w:lang w:eastAsia="zh-CN"/>
        </w:rPr>
        <w:t xml:space="preserve"> </w:t>
      </w:r>
      <w:r>
        <w:rPr>
          <w:lang w:eastAsia="zh-CN"/>
        </w:rPr>
        <w:t xml:space="preserve">HD 12i VV </w:t>
      </w:r>
      <w:r>
        <w:rPr>
          <w:rFonts w:ascii="SimSun" w:eastAsia="SimSun" w:hAnsi="SimSun" w:cs="SimSun" w:hint="eastAsia"/>
          <w:lang w:eastAsia="zh-CN"/>
        </w:rPr>
        <w:t xml:space="preserve">和 </w:t>
      </w:r>
      <w:r>
        <w:rPr>
          <w:lang w:eastAsia="zh-CN"/>
        </w:rPr>
        <w:t>HD+ 120i VV-HF (</w:t>
      </w:r>
      <w:r>
        <w:rPr>
          <w:rFonts w:ascii="SimSun" w:eastAsia="SimSun" w:hAnsi="SimSun" w:cs="SimSun" w:hint="eastAsia"/>
          <w:lang w:eastAsia="zh-CN"/>
        </w:rPr>
        <w:t>高振频</w:t>
      </w:r>
      <w:r>
        <w:rPr>
          <w:lang w:eastAsia="zh-CN"/>
        </w:rPr>
        <w:t xml:space="preserve">) </w:t>
      </w:r>
      <w:r>
        <w:rPr>
          <w:rFonts w:ascii="SimSun" w:eastAsia="SimSun" w:hAnsi="SimSun" w:cs="SimSun" w:hint="eastAsia"/>
          <w:lang w:eastAsia="zh-CN"/>
        </w:rPr>
        <w:t>铰接式双钢轮压路机，以及</w:t>
      </w:r>
      <w:r w:rsidRPr="0069717A">
        <w:rPr>
          <w:lang w:eastAsia="zh-CN"/>
        </w:rPr>
        <w:t xml:space="preserve"> </w:t>
      </w:r>
      <w:r>
        <w:rPr>
          <w:lang w:eastAsia="zh-CN"/>
        </w:rPr>
        <w:t xml:space="preserve">DV+ 70i VV-S </w:t>
      </w:r>
      <w:r>
        <w:rPr>
          <w:rFonts w:ascii="SimSun" w:eastAsia="SimSun" w:hAnsi="SimSun" w:cs="SimSun" w:hint="eastAsia"/>
          <w:lang w:eastAsia="zh-CN"/>
        </w:rPr>
        <w:t xml:space="preserve">中枢转向式双钢轮压路机。而且，悍马还推出了专门为北美市场量身定制的紧凑型 </w:t>
      </w:r>
      <w:r>
        <w:rPr>
          <w:lang w:eastAsia="zh-CN"/>
        </w:rPr>
        <w:t xml:space="preserve">HD 14i TT </w:t>
      </w:r>
      <w:r>
        <w:rPr>
          <w:rFonts w:ascii="SimSun" w:eastAsia="SimSun" w:hAnsi="SimSun" w:cs="SimSun" w:hint="eastAsia"/>
          <w:lang w:eastAsia="zh-CN"/>
        </w:rPr>
        <w:t>充气胶轮压路机。</w:t>
      </w:r>
    </w:p>
    <w:p w14:paraId="14AE6A00" w14:textId="1E518295" w:rsidR="00FD7AFE" w:rsidRPr="006236DC" w:rsidRDefault="006236DC" w:rsidP="002D2649">
      <w:pPr>
        <w:pStyle w:val="Standardabsatz"/>
        <w:rPr>
          <w:rFonts w:ascii="SimSun" w:eastAsia="SimSun" w:hAnsi="SimSun" w:cs="SimSun"/>
          <w:lang w:eastAsia="zh-CN"/>
        </w:rPr>
      </w:pPr>
      <w:r w:rsidRPr="00EA6000">
        <w:rPr>
          <w:rFonts w:ascii="SimSun" w:eastAsia="SimSun" w:hAnsi="SimSun" w:cs="SimSun" w:hint="eastAsia"/>
          <w:lang w:eastAsia="zh-CN"/>
        </w:rPr>
        <w:t>克磊镘</w:t>
      </w:r>
      <w:r w:rsidRPr="00EA6000">
        <w:rPr>
          <w:rFonts w:ascii="SimSun" w:eastAsia="SimSun" w:hAnsi="SimSun" w:cs="SimSun"/>
          <w:lang w:eastAsia="zh-CN"/>
        </w:rPr>
        <w:t xml:space="preserve"> MOBIREX MR 110i EVO2 </w:t>
      </w:r>
      <w:r w:rsidRPr="00EA6000">
        <w:rPr>
          <w:rFonts w:ascii="SimSun" w:eastAsia="SimSun" w:hAnsi="SimSun" w:cs="SimSun" w:hint="eastAsia"/>
          <w:lang w:eastAsia="zh-CN"/>
        </w:rPr>
        <w:t>反击式破碎设备可高效处理再生材料，并且施工效果出众。参观展位的访客们对</w:t>
      </w:r>
      <w:r w:rsidRPr="00EA6000">
        <w:rPr>
          <w:rFonts w:ascii="SimSun" w:eastAsia="SimSun" w:hAnsi="SimSun" w:cs="SimSun"/>
          <w:lang w:eastAsia="zh-CN"/>
        </w:rPr>
        <w:t xml:space="preserve"> SPECTIVE CONNECT </w:t>
      </w:r>
      <w:r w:rsidRPr="00EA6000">
        <w:rPr>
          <w:rFonts w:ascii="SimSun" w:eastAsia="SimSun" w:hAnsi="SimSun" w:cs="SimSun" w:hint="eastAsia"/>
          <w:lang w:eastAsia="zh-CN"/>
        </w:rPr>
        <w:t>操控理念尤为感兴趣。</w:t>
      </w:r>
      <w:r w:rsidRPr="00EA6000">
        <w:rPr>
          <w:rFonts w:ascii="SimSun" w:eastAsia="SimSun" w:hAnsi="SimSun" w:cs="SimSun"/>
          <w:lang w:eastAsia="zh-CN"/>
        </w:rPr>
        <w:t xml:space="preserve">SPECTIVE </w:t>
      </w:r>
      <w:r w:rsidRPr="00EA6000">
        <w:rPr>
          <w:rFonts w:ascii="SimSun" w:eastAsia="SimSun" w:hAnsi="SimSun" w:cs="SimSun" w:hint="eastAsia"/>
          <w:lang w:eastAsia="zh-CN"/>
        </w:rPr>
        <w:t>操控理念的这一升级版本可在智能手机上显示所有施工相关信息以及报告，这便意味着，操作手无需再离开挖掘机或轮式装载机的驾驶室。</w:t>
      </w:r>
    </w:p>
    <w:p w14:paraId="26DD1B12" w14:textId="77777777" w:rsidR="006236DC" w:rsidRPr="00EA6000" w:rsidRDefault="006236DC" w:rsidP="002D2649">
      <w:pPr>
        <w:pStyle w:val="Standardabsatz"/>
        <w:rPr>
          <w:rFonts w:ascii="SimSun" w:eastAsia="SimSun" w:hAnsi="SimSun" w:cs="SimSun"/>
          <w:lang w:eastAsia="zh-CN"/>
        </w:rPr>
      </w:pPr>
      <w:r w:rsidRPr="00EA6000">
        <w:rPr>
          <w:rFonts w:ascii="SimSun" w:eastAsia="SimSun" w:hAnsi="SimSun" w:cs="SimSun" w:hint="eastAsia"/>
          <w:lang w:eastAsia="zh-CN"/>
        </w:rPr>
        <w:t>在纳什维尔</w:t>
      </w:r>
      <w:r w:rsidRPr="00EA6000">
        <w:rPr>
          <w:rFonts w:ascii="SimSun" w:eastAsia="SimSun" w:hAnsi="SimSun" w:cs="SimSun"/>
          <w:lang w:eastAsia="zh-CN"/>
        </w:rPr>
        <w:t xml:space="preserve"> (Nashville)</w:t>
      </w:r>
      <w:r w:rsidRPr="00EA6000">
        <w:rPr>
          <w:rFonts w:ascii="SimSun" w:eastAsia="SimSun" w:hAnsi="SimSun" w:cs="SimSun" w:hint="eastAsia"/>
          <w:lang w:eastAsia="zh-CN"/>
        </w:rPr>
        <w:t>，</w:t>
      </w:r>
      <w:r w:rsidRPr="00EA6000">
        <w:rPr>
          <w:rFonts w:ascii="SimSun" w:eastAsia="SimSun" w:hAnsi="SimSun" w:cs="SimSun"/>
          <w:lang w:eastAsia="zh-CN"/>
        </w:rPr>
        <w:t xml:space="preserve">MR 110i EVO2 </w:t>
      </w:r>
      <w:r w:rsidRPr="00EA6000">
        <w:rPr>
          <w:rFonts w:ascii="SimSun" w:eastAsia="SimSun" w:hAnsi="SimSun" w:cs="SimSun" w:hint="eastAsia"/>
          <w:lang w:eastAsia="zh-CN"/>
        </w:rPr>
        <w:t>和来自约翰迪尔的</w:t>
      </w:r>
      <w:r w:rsidRPr="00EA6000">
        <w:rPr>
          <w:rFonts w:ascii="SimSun" w:eastAsia="SimSun" w:hAnsi="SimSun" w:cs="SimSun"/>
          <w:lang w:eastAsia="zh-CN"/>
        </w:rPr>
        <w:t xml:space="preserve"> 904 P-Tier </w:t>
      </w:r>
      <w:r w:rsidRPr="00EA6000">
        <w:rPr>
          <w:rFonts w:ascii="SimSun" w:eastAsia="SimSun" w:hAnsi="SimSun" w:cs="SimSun" w:hint="eastAsia"/>
          <w:lang w:eastAsia="zh-CN"/>
        </w:rPr>
        <w:t>轮式装载机一同亮相于展会。作为一个生产系统，这一施工搭档在沥青世界成为诠释集团公司为整个筑养路施工过程提供全面解决方案的有力实证。</w:t>
      </w:r>
    </w:p>
    <w:p w14:paraId="55013155" w14:textId="7BF5F256" w:rsidR="006236DC" w:rsidRPr="00AB54EC" w:rsidRDefault="006236DC" w:rsidP="00104F63">
      <w:pPr>
        <w:jc w:val="both"/>
        <w:rPr>
          <w:b/>
          <w:sz w:val="22"/>
          <w:szCs w:val="22"/>
          <w:lang w:eastAsia="zh-CN"/>
        </w:rPr>
      </w:pPr>
      <w:r w:rsidRPr="00AB54EC">
        <w:rPr>
          <w:rFonts w:ascii="SimSun" w:eastAsia="SimSun" w:hAnsi="SimSun" w:cs="SimSun" w:hint="eastAsia"/>
          <w:b/>
          <w:sz w:val="22"/>
          <w:szCs w:val="22"/>
          <w:lang w:eastAsia="zh-CN"/>
        </w:rPr>
        <w:t>维特根集团拥有覆盖路面建设全周期的先进技术和解决方案</w:t>
      </w:r>
    </w:p>
    <w:p w14:paraId="29CE71BB" w14:textId="77777777" w:rsidR="006236DC" w:rsidRPr="00863355" w:rsidRDefault="006236DC" w:rsidP="002D2649">
      <w:pPr>
        <w:jc w:val="both"/>
        <w:rPr>
          <w:rFonts w:ascii="SimSun" w:eastAsia="SimSun" w:hAnsi="SimSun" w:cs="SimSun"/>
          <w:color w:val="000000" w:themeColor="text1"/>
          <w:sz w:val="22"/>
          <w:szCs w:val="24"/>
          <w:lang w:eastAsia="zh-CN"/>
        </w:rPr>
      </w:pPr>
      <w:r w:rsidRPr="00863355">
        <w:rPr>
          <w:rFonts w:ascii="SimSun" w:eastAsia="SimSun" w:hAnsi="SimSun" w:cs="SimSun" w:hint="eastAsia"/>
          <w:color w:val="000000" w:themeColor="text1"/>
          <w:sz w:val="22"/>
          <w:szCs w:val="24"/>
          <w:lang w:eastAsia="zh-CN"/>
        </w:rPr>
        <w:t xml:space="preserve">维特根（美国）总裁兼首席执行官 </w:t>
      </w:r>
      <w:r w:rsidRPr="00863355">
        <w:rPr>
          <w:rFonts w:ascii="SimSun" w:eastAsia="SimSun" w:hAnsi="SimSun" w:cs="SimSun"/>
          <w:color w:val="000000" w:themeColor="text1"/>
          <w:sz w:val="22"/>
          <w:szCs w:val="24"/>
          <w:lang w:eastAsia="zh-CN"/>
        </w:rPr>
        <w:t xml:space="preserve">Jim McEvoy </w:t>
      </w:r>
      <w:r w:rsidRPr="00863355">
        <w:rPr>
          <w:rFonts w:ascii="SimSun" w:eastAsia="SimSun" w:hAnsi="SimSun" w:cs="SimSun" w:hint="eastAsia"/>
          <w:color w:val="000000" w:themeColor="text1"/>
          <w:sz w:val="22"/>
          <w:szCs w:val="24"/>
          <w:lang w:eastAsia="zh-CN"/>
        </w:rPr>
        <w:t>表示：“维特根集团既满足了客户对筑养路行业基础设施不断增长的需求，同时解决了如今面临的一个重大全球性挑战，即保护环境，实现人与自然和谐发展。”谈及此次展会，</w:t>
      </w:r>
      <w:r w:rsidRPr="00863355">
        <w:rPr>
          <w:rFonts w:ascii="SimSun" w:eastAsia="SimSun" w:hAnsi="SimSun" w:cs="SimSun"/>
          <w:color w:val="000000" w:themeColor="text1"/>
          <w:sz w:val="22"/>
          <w:szCs w:val="24"/>
          <w:lang w:eastAsia="zh-CN"/>
        </w:rPr>
        <w:t xml:space="preserve">Jim McEvoy </w:t>
      </w:r>
      <w:r w:rsidRPr="00863355">
        <w:rPr>
          <w:rFonts w:ascii="SimSun" w:eastAsia="SimSun" w:hAnsi="SimSun" w:cs="SimSun" w:hint="eastAsia"/>
          <w:color w:val="000000" w:themeColor="text1"/>
          <w:sz w:val="22"/>
          <w:szCs w:val="24"/>
          <w:lang w:eastAsia="zh-CN"/>
        </w:rPr>
        <w:t xml:space="preserve">对结果很满意，也得出一个非常积极的结论：正如 </w:t>
      </w:r>
      <w:r w:rsidRPr="00863355">
        <w:rPr>
          <w:rFonts w:ascii="SimSun" w:eastAsia="SimSun" w:hAnsi="SimSun" w:cs="SimSun"/>
          <w:color w:val="000000" w:themeColor="text1"/>
          <w:sz w:val="22"/>
          <w:szCs w:val="24"/>
          <w:lang w:eastAsia="zh-CN"/>
        </w:rPr>
        <w:t xml:space="preserve">McEvoy </w:t>
      </w:r>
      <w:r w:rsidRPr="00863355">
        <w:rPr>
          <w:rFonts w:ascii="SimSun" w:eastAsia="SimSun" w:hAnsi="SimSun" w:cs="SimSun" w:hint="eastAsia"/>
          <w:color w:val="000000" w:themeColor="text1"/>
          <w:sz w:val="22"/>
          <w:szCs w:val="24"/>
          <w:lang w:eastAsia="zh-CN"/>
        </w:rPr>
        <w:t>所报道，与来访宾客面对面沟通和交流的方式最为友好。展会现场热闹非凡，</w:t>
      </w:r>
      <w:bookmarkStart w:id="1" w:name="OLE_LINK4"/>
      <w:r w:rsidRPr="00863355">
        <w:rPr>
          <w:rFonts w:ascii="SimSun" w:eastAsia="SimSun" w:hAnsi="SimSun" w:cs="SimSun" w:hint="eastAsia"/>
          <w:color w:val="000000" w:themeColor="text1"/>
          <w:sz w:val="22"/>
          <w:szCs w:val="24"/>
          <w:lang w:eastAsia="zh-CN"/>
        </w:rPr>
        <w:t>我们和与会宾客进行了深入探讨，客户对我们的解决方案表现出浓厚的兴趣。</w:t>
      </w:r>
    </w:p>
    <w:bookmarkEnd w:id="1"/>
    <w:p w14:paraId="244E2531" w14:textId="7A2FF10C" w:rsidR="00155356" w:rsidRDefault="00155356" w:rsidP="002D2649">
      <w:pPr>
        <w:jc w:val="both"/>
        <w:rPr>
          <w:rFonts w:eastAsiaTheme="minorHAnsi" w:cstheme="minorBidi"/>
          <w:b/>
          <w:bCs/>
          <w:color w:val="000000" w:themeColor="text1"/>
          <w:sz w:val="22"/>
          <w:szCs w:val="24"/>
          <w:lang w:eastAsia="zh-CN"/>
        </w:rPr>
      </w:pPr>
    </w:p>
    <w:p w14:paraId="1C3F652E" w14:textId="255ECE0C" w:rsidR="00FD7AFE" w:rsidRDefault="00FD7AFE">
      <w:pPr>
        <w:rPr>
          <w:rFonts w:eastAsiaTheme="minorHAnsi" w:cstheme="minorBidi"/>
          <w:b/>
          <w:bCs/>
          <w:color w:val="000000" w:themeColor="text1"/>
          <w:sz w:val="22"/>
          <w:szCs w:val="24"/>
          <w:lang w:eastAsia="zh-CN"/>
        </w:rPr>
      </w:pPr>
    </w:p>
    <w:p w14:paraId="41135F20" w14:textId="1F353461" w:rsidR="00104F63" w:rsidRDefault="00104F63">
      <w:pPr>
        <w:rPr>
          <w:rFonts w:eastAsiaTheme="minorHAnsi" w:cstheme="minorBidi"/>
          <w:b/>
          <w:bCs/>
          <w:color w:val="000000" w:themeColor="text1"/>
          <w:sz w:val="22"/>
          <w:szCs w:val="24"/>
          <w:lang w:eastAsia="zh-CN"/>
        </w:rPr>
      </w:pPr>
    </w:p>
    <w:p w14:paraId="57273A57" w14:textId="0E47FC86" w:rsidR="00104F63" w:rsidRDefault="00104F63">
      <w:pPr>
        <w:rPr>
          <w:rFonts w:eastAsiaTheme="minorHAnsi" w:cstheme="minorBidi"/>
          <w:b/>
          <w:bCs/>
          <w:color w:val="000000" w:themeColor="text1"/>
          <w:sz w:val="22"/>
          <w:szCs w:val="24"/>
          <w:lang w:eastAsia="zh-CN"/>
        </w:rPr>
      </w:pPr>
    </w:p>
    <w:p w14:paraId="7AAF5D71" w14:textId="0B4DB945" w:rsidR="00104F63" w:rsidRDefault="00104F63">
      <w:pPr>
        <w:rPr>
          <w:rFonts w:eastAsiaTheme="minorHAnsi" w:cstheme="minorBidi"/>
          <w:b/>
          <w:bCs/>
          <w:color w:val="000000" w:themeColor="text1"/>
          <w:sz w:val="22"/>
          <w:szCs w:val="24"/>
          <w:lang w:eastAsia="zh-CN"/>
        </w:rPr>
      </w:pPr>
    </w:p>
    <w:p w14:paraId="3FC940E4" w14:textId="6DAEB4F6" w:rsidR="00104F63" w:rsidRDefault="00104F63">
      <w:pPr>
        <w:rPr>
          <w:rFonts w:eastAsiaTheme="minorHAnsi" w:cstheme="minorBidi"/>
          <w:b/>
          <w:bCs/>
          <w:color w:val="000000" w:themeColor="text1"/>
          <w:sz w:val="22"/>
          <w:szCs w:val="24"/>
          <w:lang w:eastAsia="zh-CN"/>
        </w:rPr>
      </w:pPr>
    </w:p>
    <w:p w14:paraId="626140D2" w14:textId="6DEEDB50" w:rsidR="00104F63" w:rsidRDefault="00104F63">
      <w:pPr>
        <w:rPr>
          <w:rFonts w:eastAsiaTheme="minorHAnsi" w:cstheme="minorBidi"/>
          <w:b/>
          <w:bCs/>
          <w:color w:val="000000" w:themeColor="text1"/>
          <w:sz w:val="22"/>
          <w:szCs w:val="24"/>
          <w:lang w:eastAsia="zh-CN"/>
        </w:rPr>
      </w:pPr>
    </w:p>
    <w:p w14:paraId="7F607B67" w14:textId="032E4EF6" w:rsidR="00104F63" w:rsidRDefault="00104F63">
      <w:pPr>
        <w:rPr>
          <w:rFonts w:eastAsiaTheme="minorHAnsi" w:cstheme="minorBidi"/>
          <w:b/>
          <w:bCs/>
          <w:color w:val="000000" w:themeColor="text1"/>
          <w:sz w:val="22"/>
          <w:szCs w:val="24"/>
          <w:lang w:eastAsia="zh-CN"/>
        </w:rPr>
      </w:pPr>
    </w:p>
    <w:p w14:paraId="2297EE7D" w14:textId="77777777" w:rsidR="00104F63" w:rsidRDefault="00104F63">
      <w:pPr>
        <w:rPr>
          <w:rFonts w:eastAsiaTheme="minorHAnsi" w:cstheme="minorBidi"/>
          <w:b/>
          <w:bCs/>
          <w:color w:val="000000" w:themeColor="text1"/>
          <w:sz w:val="22"/>
          <w:szCs w:val="24"/>
          <w:lang w:eastAsia="zh-CN"/>
        </w:rPr>
      </w:pPr>
    </w:p>
    <w:p w14:paraId="42216E2D" w14:textId="77777777" w:rsidR="003E584D" w:rsidRDefault="003E584D" w:rsidP="003E584D">
      <w:pPr>
        <w:pStyle w:val="HeadlineFotos"/>
        <w:jc w:val="both"/>
        <w:rPr>
          <w:rFonts w:eastAsiaTheme="minorHAnsi" w:cstheme="minorBidi"/>
        </w:rPr>
      </w:pPr>
      <w:bookmarkStart w:id="2" w:name="_Hlk100647004"/>
      <w:proofErr w:type="spellStart"/>
      <w:r>
        <w:rPr>
          <w:rFonts w:hint="eastAsia"/>
        </w:rPr>
        <w:lastRenderedPageBreak/>
        <w:t>图片</w:t>
      </w:r>
      <w:bookmarkEnd w:id="2"/>
      <w:proofErr w:type="spellEnd"/>
      <w:r>
        <w:rPr>
          <w:rFonts w:hint="eastAsia"/>
        </w:rPr>
        <w:t>：</w:t>
      </w:r>
    </w:p>
    <w:tbl>
      <w:tblPr>
        <w:tblStyle w:val="Basic"/>
        <w:tblW w:w="0" w:type="auto"/>
        <w:tblCellSpacing w:w="71" w:type="dxa"/>
        <w:tblLook w:val="04A0" w:firstRow="1" w:lastRow="0" w:firstColumn="1" w:lastColumn="0" w:noHBand="0" w:noVBand="1"/>
      </w:tblPr>
      <w:tblGrid>
        <w:gridCol w:w="4820"/>
        <w:gridCol w:w="4704"/>
      </w:tblGrid>
      <w:tr w:rsidR="003E584D" w14:paraId="672B8A83" w14:textId="77777777" w:rsidTr="003E584D">
        <w:trPr>
          <w:cnfStyle w:val="100000000000" w:firstRow="1" w:lastRow="0" w:firstColumn="0" w:lastColumn="0" w:oddVBand="0" w:evenVBand="0" w:oddHBand="0" w:evenHBand="0" w:firstRowFirstColumn="0" w:firstRowLastColumn="0" w:lastRowFirstColumn="0" w:lastRowLastColumn="0"/>
          <w:tblCellSpacing w:w="71" w:type="dxa"/>
        </w:trPr>
        <w:tc>
          <w:tcPr>
            <w:tcW w:w="4607" w:type="dxa"/>
            <w:tcBorders>
              <w:top w:val="nil"/>
              <w:left w:val="nil"/>
              <w:bottom w:val="nil"/>
              <w:right w:val="single" w:sz="4" w:space="0" w:color="auto"/>
            </w:tcBorders>
            <w:hideMark/>
          </w:tcPr>
          <w:p w14:paraId="178C801A" w14:textId="1B4D3E96" w:rsidR="003E584D" w:rsidRDefault="003E584D" w:rsidP="004919BF">
            <w:pPr>
              <w:jc w:val="both"/>
              <w:rPr>
                <w:szCs w:val="20"/>
              </w:rPr>
            </w:pPr>
            <w:r>
              <w:rPr>
                <w:b/>
                <w:noProof/>
              </w:rPr>
              <w:drawing>
                <wp:inline distT="0" distB="0" distL="0" distR="0" wp14:anchorId="7D66B0F8" wp14:editId="276A4B9F">
                  <wp:extent cx="2657475" cy="1791334"/>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88361" cy="1812153"/>
                          </a:xfrm>
                          <a:prstGeom prst="rect">
                            <a:avLst/>
                          </a:prstGeom>
                          <a:noFill/>
                          <a:ln>
                            <a:noFill/>
                          </a:ln>
                        </pic:spPr>
                      </pic:pic>
                    </a:graphicData>
                  </a:graphic>
                </wp:inline>
              </w:drawing>
            </w:r>
          </w:p>
        </w:tc>
        <w:tc>
          <w:tcPr>
            <w:tcW w:w="4491" w:type="dxa"/>
          </w:tcPr>
          <w:p w14:paraId="06A95669" w14:textId="77777777" w:rsidR="003E584D" w:rsidRPr="003E584D" w:rsidRDefault="003E584D" w:rsidP="004919BF">
            <w:pPr>
              <w:pStyle w:val="Text"/>
              <w:rPr>
                <w:b/>
                <w:bCs/>
                <w:sz w:val="20"/>
                <w:szCs w:val="20"/>
                <w:lang w:eastAsia="zh-CN"/>
              </w:rPr>
            </w:pPr>
            <w:r w:rsidRPr="003E584D">
              <w:rPr>
                <w:b/>
                <w:bCs/>
                <w:sz w:val="20"/>
                <w:szCs w:val="20"/>
                <w:lang w:eastAsia="zh-CN"/>
              </w:rPr>
              <w:t>WG_photo_WoA-2022_00001_PR</w:t>
            </w:r>
          </w:p>
          <w:p w14:paraId="13ADDDBC" w14:textId="77777777" w:rsidR="003E584D" w:rsidRDefault="003E584D" w:rsidP="004919BF">
            <w:pPr>
              <w:pStyle w:val="Text"/>
              <w:rPr>
                <w:sz w:val="20"/>
                <w:lang w:eastAsia="zh-CN"/>
              </w:rPr>
            </w:pPr>
          </w:p>
          <w:p w14:paraId="14B56F36" w14:textId="77777777" w:rsidR="003E584D" w:rsidRPr="003E584D" w:rsidRDefault="003E584D" w:rsidP="003E584D">
            <w:pPr>
              <w:jc w:val="both"/>
              <w:rPr>
                <w:rFonts w:ascii="SimSun" w:eastAsia="SimSun" w:hAnsi="SimSun" w:cs="SimSun"/>
                <w:color w:val="000000" w:themeColor="text1"/>
                <w:sz w:val="20"/>
                <w:szCs w:val="20"/>
                <w:lang w:eastAsia="zh-CN"/>
              </w:rPr>
            </w:pPr>
            <w:r w:rsidRPr="003E584D">
              <w:rPr>
                <w:rFonts w:ascii="SimSun" w:eastAsia="SimSun" w:hAnsi="SimSun" w:cs="SimSun" w:hint="eastAsia"/>
                <w:color w:val="000000" w:themeColor="text1"/>
                <w:sz w:val="20"/>
                <w:szCs w:val="20"/>
                <w:lang w:eastAsia="zh-CN"/>
              </w:rPr>
              <w:t>在展会上，来自行业各个领域的参与者了解到来自维特根集团和约翰迪尔公司的更多创新机器和技术解决方案。</w:t>
            </w:r>
            <w:r w:rsidRPr="003E584D">
              <w:rPr>
                <w:rFonts w:ascii="SimSun" w:eastAsia="SimSun" w:hAnsi="SimSun" w:cs="SimSun"/>
                <w:color w:val="000000" w:themeColor="text1"/>
                <w:sz w:val="20"/>
                <w:szCs w:val="20"/>
                <w:lang w:eastAsia="zh-CN"/>
              </w:rPr>
              <w:t> </w:t>
            </w:r>
          </w:p>
          <w:p w14:paraId="20869C6B" w14:textId="77777777" w:rsidR="003E584D" w:rsidRDefault="003E584D" w:rsidP="004919BF">
            <w:pPr>
              <w:pStyle w:val="Text"/>
              <w:spacing w:line="276" w:lineRule="auto"/>
              <w:rPr>
                <w:sz w:val="20"/>
              </w:rPr>
            </w:pPr>
          </w:p>
        </w:tc>
      </w:tr>
    </w:tbl>
    <w:p w14:paraId="0C6DB509" w14:textId="77777777" w:rsidR="003E584D" w:rsidRDefault="003E584D" w:rsidP="003E584D">
      <w:pPr>
        <w:pStyle w:val="Text"/>
        <w:rPr>
          <w:rFonts w:asciiTheme="minorHAnsi" w:hAnsiTheme="minorHAnsi" w:cstheme="minorBidi"/>
        </w:rPr>
      </w:pPr>
    </w:p>
    <w:tbl>
      <w:tblPr>
        <w:tblStyle w:val="Basic"/>
        <w:tblW w:w="0" w:type="auto"/>
        <w:tblCellSpacing w:w="71" w:type="dxa"/>
        <w:tblLook w:val="04A0" w:firstRow="1" w:lastRow="0" w:firstColumn="1" w:lastColumn="0" w:noHBand="0" w:noVBand="1"/>
      </w:tblPr>
      <w:tblGrid>
        <w:gridCol w:w="4815"/>
        <w:gridCol w:w="4709"/>
      </w:tblGrid>
      <w:tr w:rsidR="003E584D" w14:paraId="630BCF5E" w14:textId="77777777" w:rsidTr="004919BF">
        <w:trPr>
          <w:cnfStyle w:val="100000000000" w:firstRow="1" w:lastRow="0" w:firstColumn="0" w:lastColumn="0" w:oddVBand="0" w:evenVBand="0" w:oddHBand="0" w:evenHBand="0" w:firstRowFirstColumn="0" w:firstRowLastColumn="0" w:lastRowFirstColumn="0" w:lastRowLastColumn="0"/>
          <w:tblCellSpacing w:w="71" w:type="dxa"/>
        </w:trPr>
        <w:tc>
          <w:tcPr>
            <w:tcW w:w="4602" w:type="dxa"/>
            <w:tcBorders>
              <w:top w:val="nil"/>
              <w:left w:val="nil"/>
              <w:bottom w:val="nil"/>
              <w:right w:val="single" w:sz="4" w:space="0" w:color="auto"/>
            </w:tcBorders>
            <w:hideMark/>
          </w:tcPr>
          <w:p w14:paraId="67C6CDE5" w14:textId="77A171FD" w:rsidR="003E584D" w:rsidRDefault="003E584D" w:rsidP="004919BF">
            <w:pPr>
              <w:jc w:val="both"/>
              <w:rPr>
                <w:szCs w:val="20"/>
              </w:rPr>
            </w:pPr>
            <w:r>
              <w:rPr>
                <w:b/>
                <w:noProof/>
              </w:rPr>
              <w:drawing>
                <wp:inline distT="0" distB="0" distL="0" distR="0" wp14:anchorId="33A77E30" wp14:editId="212742BD">
                  <wp:extent cx="2657475" cy="1771650"/>
                  <wp:effectExtent l="0" t="0" r="9525"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74193" cy="1782795"/>
                          </a:xfrm>
                          <a:prstGeom prst="rect">
                            <a:avLst/>
                          </a:prstGeom>
                          <a:noFill/>
                          <a:ln>
                            <a:noFill/>
                          </a:ln>
                        </pic:spPr>
                      </pic:pic>
                    </a:graphicData>
                  </a:graphic>
                </wp:inline>
              </w:drawing>
            </w:r>
            <w:r>
              <w:rPr>
                <w:szCs w:val="20"/>
              </w:rPr>
              <w:t xml:space="preserve">  </w:t>
            </w:r>
          </w:p>
        </w:tc>
        <w:tc>
          <w:tcPr>
            <w:tcW w:w="4496" w:type="dxa"/>
          </w:tcPr>
          <w:p w14:paraId="334E4655" w14:textId="6D2876D9" w:rsidR="003E584D" w:rsidRDefault="003E584D" w:rsidP="003E584D">
            <w:pPr>
              <w:pStyle w:val="BUbold"/>
            </w:pPr>
            <w:r w:rsidRPr="000D7A9A">
              <w:t>WG_photo_WoA-2022_0000</w:t>
            </w:r>
            <w:r>
              <w:t>2</w:t>
            </w:r>
            <w:r w:rsidRPr="000D7A9A">
              <w:t>_PR</w:t>
            </w:r>
            <w:r>
              <w:t xml:space="preserve"> </w:t>
            </w:r>
            <w:r>
              <w:br/>
            </w:r>
          </w:p>
          <w:p w14:paraId="0BEEF79D" w14:textId="77777777" w:rsidR="003E584D" w:rsidRPr="00404053" w:rsidRDefault="003E584D" w:rsidP="003E584D">
            <w:pPr>
              <w:rPr>
                <w:rFonts w:eastAsiaTheme="minorHAnsi" w:cstheme="minorBidi"/>
                <w:sz w:val="20"/>
                <w:szCs w:val="24"/>
                <w:lang w:eastAsia="zh-CN"/>
              </w:rPr>
            </w:pPr>
            <w:r w:rsidRPr="00404053">
              <w:rPr>
                <w:rFonts w:eastAsiaTheme="minorHAnsi" w:cstheme="minorBidi"/>
                <w:sz w:val="20"/>
                <w:szCs w:val="24"/>
                <w:lang w:eastAsia="zh-CN"/>
              </w:rPr>
              <w:t xml:space="preserve">W 120 Fi </w:t>
            </w:r>
            <w:r w:rsidRPr="00404053">
              <w:rPr>
                <w:rFonts w:ascii="SimSun" w:eastAsia="SimSun" w:hAnsi="SimSun" w:cs="SimSun" w:hint="eastAsia"/>
                <w:sz w:val="20"/>
                <w:szCs w:val="24"/>
                <w:lang w:eastAsia="zh-CN"/>
              </w:rPr>
              <w:t>是维特根公司推出的三款新型</w:t>
            </w:r>
            <w:r>
              <w:rPr>
                <w:rFonts w:ascii="SimSun" w:eastAsia="SimSun" w:hAnsi="SimSun" w:cs="SimSun" w:hint="eastAsia"/>
                <w:sz w:val="20"/>
                <w:szCs w:val="24"/>
                <w:lang w:eastAsia="zh-CN"/>
              </w:rPr>
              <w:t>中型</w:t>
            </w:r>
            <w:r w:rsidRPr="00404053">
              <w:rPr>
                <w:rFonts w:ascii="SimSun" w:eastAsia="SimSun" w:hAnsi="SimSun" w:cs="SimSun" w:hint="eastAsia"/>
                <w:sz w:val="20"/>
                <w:szCs w:val="24"/>
                <w:lang w:eastAsia="zh-CN"/>
              </w:rPr>
              <w:t>铣刨机中的一款。除了是全球首映，</w:t>
            </w:r>
            <w:proofErr w:type="gramStart"/>
            <w:r w:rsidRPr="00404053">
              <w:rPr>
                <w:rFonts w:ascii="SimSun" w:eastAsia="SimSun" w:hAnsi="SimSun" w:cs="SimSun" w:hint="eastAsia"/>
                <w:sz w:val="20"/>
                <w:szCs w:val="24"/>
                <w:lang w:eastAsia="zh-CN"/>
              </w:rPr>
              <w:t>维特根还展出了这款摊铺机的</w:t>
            </w:r>
            <w:r w:rsidRPr="00404053">
              <w:rPr>
                <w:rFonts w:ascii="Calibri" w:eastAsiaTheme="minorHAnsi" w:hAnsi="Calibri" w:cs="Calibri"/>
                <w:sz w:val="20"/>
                <w:szCs w:val="24"/>
                <w:lang w:eastAsia="zh-CN"/>
              </w:rPr>
              <w:t>“</w:t>
            </w:r>
            <w:proofErr w:type="gramEnd"/>
            <w:r w:rsidRPr="00404053">
              <w:rPr>
                <w:rFonts w:ascii="SimSun" w:eastAsia="SimSun" w:hAnsi="SimSun" w:cs="SimSun" w:hint="eastAsia"/>
                <w:sz w:val="20"/>
                <w:szCs w:val="24"/>
                <w:lang w:eastAsia="zh-CN"/>
              </w:rPr>
              <w:t>兄弟</w:t>
            </w:r>
            <w:r w:rsidRPr="00404053">
              <w:rPr>
                <w:rFonts w:ascii="Calibri" w:eastAsiaTheme="minorHAnsi" w:hAnsi="Calibri" w:cs="Calibri"/>
                <w:sz w:val="20"/>
                <w:szCs w:val="24"/>
                <w:lang w:eastAsia="zh-CN"/>
              </w:rPr>
              <w:t>”</w:t>
            </w:r>
            <w:r w:rsidRPr="00404053">
              <w:rPr>
                <w:rFonts w:ascii="SimSun" w:eastAsia="SimSun" w:hAnsi="SimSun" w:cs="SimSun" w:hint="eastAsia"/>
                <w:sz w:val="20"/>
                <w:szCs w:val="24"/>
                <w:lang w:eastAsia="zh-CN"/>
              </w:rPr>
              <w:t>款</w:t>
            </w:r>
            <w:r>
              <w:rPr>
                <w:rFonts w:cstheme="minorBidi" w:hint="eastAsia"/>
                <w:sz w:val="20"/>
                <w:szCs w:val="24"/>
                <w:lang w:eastAsia="zh-CN"/>
              </w:rPr>
              <w:t xml:space="preserve"> </w:t>
            </w:r>
            <w:r>
              <w:rPr>
                <w:rFonts w:asciiTheme="minorEastAsia" w:hAnsiTheme="minorEastAsia" w:cstheme="minorBidi" w:hint="eastAsia"/>
                <w:sz w:val="20"/>
                <w:szCs w:val="24"/>
                <w:lang w:eastAsia="zh-CN"/>
              </w:rPr>
              <w:t>-</w:t>
            </w:r>
            <w:r>
              <w:rPr>
                <w:rFonts w:eastAsiaTheme="minorHAnsi" w:cstheme="minorBidi"/>
                <w:sz w:val="20"/>
                <w:szCs w:val="24"/>
                <w:lang w:eastAsia="zh-CN"/>
              </w:rPr>
              <w:t xml:space="preserve"> </w:t>
            </w:r>
            <w:r w:rsidRPr="00404053">
              <w:rPr>
                <w:rFonts w:eastAsiaTheme="minorHAnsi" w:cstheme="minorBidi"/>
                <w:sz w:val="20"/>
                <w:szCs w:val="24"/>
                <w:lang w:eastAsia="zh-CN"/>
              </w:rPr>
              <w:t>W 210 Fi</w:t>
            </w:r>
            <w:r w:rsidRPr="00404053">
              <w:rPr>
                <w:rFonts w:ascii="SimSun" w:eastAsia="SimSun" w:hAnsi="SimSun" w:cs="SimSun" w:hint="eastAsia"/>
                <w:sz w:val="20"/>
                <w:szCs w:val="24"/>
                <w:lang w:eastAsia="zh-CN"/>
              </w:rPr>
              <w:t>。</w:t>
            </w:r>
          </w:p>
          <w:p w14:paraId="3CD218BD" w14:textId="77777777" w:rsidR="003E584D" w:rsidRDefault="003E584D" w:rsidP="004919BF">
            <w:pPr>
              <w:pStyle w:val="Text"/>
              <w:spacing w:line="276" w:lineRule="auto"/>
              <w:rPr>
                <w:sz w:val="20"/>
              </w:rPr>
            </w:pPr>
          </w:p>
        </w:tc>
      </w:tr>
    </w:tbl>
    <w:p w14:paraId="571F38A4" w14:textId="77777777" w:rsidR="003E584D" w:rsidRDefault="003E584D" w:rsidP="003E584D">
      <w:pPr>
        <w:pStyle w:val="Text"/>
        <w:rPr>
          <w:rFonts w:asciiTheme="minorHAnsi" w:hAnsiTheme="minorHAnsi" w:cstheme="minorBidi"/>
        </w:rPr>
      </w:pPr>
    </w:p>
    <w:tbl>
      <w:tblPr>
        <w:tblStyle w:val="Basic"/>
        <w:tblW w:w="0" w:type="auto"/>
        <w:tblCellSpacing w:w="71" w:type="dxa"/>
        <w:tblLook w:val="04A0" w:firstRow="1" w:lastRow="0" w:firstColumn="1" w:lastColumn="0" w:noHBand="0" w:noVBand="1"/>
      </w:tblPr>
      <w:tblGrid>
        <w:gridCol w:w="4815"/>
        <w:gridCol w:w="4709"/>
      </w:tblGrid>
      <w:tr w:rsidR="003E584D" w14:paraId="2348AD31" w14:textId="77777777" w:rsidTr="003E584D">
        <w:trPr>
          <w:cnfStyle w:val="100000000000" w:firstRow="1" w:lastRow="0" w:firstColumn="0" w:lastColumn="0" w:oddVBand="0" w:evenVBand="0" w:oddHBand="0" w:evenHBand="0" w:firstRowFirstColumn="0" w:firstRowLastColumn="0" w:lastRowFirstColumn="0" w:lastRowLastColumn="0"/>
          <w:trHeight w:val="13"/>
          <w:tblCellSpacing w:w="71" w:type="dxa"/>
        </w:trPr>
        <w:tc>
          <w:tcPr>
            <w:tcW w:w="4602" w:type="dxa"/>
            <w:tcBorders>
              <w:top w:val="nil"/>
              <w:left w:val="nil"/>
              <w:bottom w:val="nil"/>
              <w:right w:val="single" w:sz="4" w:space="0" w:color="auto"/>
            </w:tcBorders>
            <w:hideMark/>
          </w:tcPr>
          <w:p w14:paraId="63CCD034" w14:textId="76D928DC" w:rsidR="003E584D" w:rsidRDefault="003E584D" w:rsidP="004919BF">
            <w:pPr>
              <w:jc w:val="both"/>
              <w:rPr>
                <w:szCs w:val="20"/>
              </w:rPr>
            </w:pPr>
            <w:r>
              <w:rPr>
                <w:noProof/>
              </w:rPr>
              <w:drawing>
                <wp:inline distT="0" distB="0" distL="0" distR="0" wp14:anchorId="04016CDF" wp14:editId="167EC025">
                  <wp:extent cx="2628900" cy="1657350"/>
                  <wp:effectExtent l="0" t="0" r="0" b="0"/>
                  <wp:docPr id="20" name="Grafik 20"/>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40950" cy="1664947"/>
                          </a:xfrm>
                          <a:prstGeom prst="rect">
                            <a:avLst/>
                          </a:prstGeom>
                          <a:noFill/>
                          <a:ln>
                            <a:noFill/>
                          </a:ln>
                        </pic:spPr>
                      </pic:pic>
                    </a:graphicData>
                  </a:graphic>
                </wp:inline>
              </w:drawing>
            </w:r>
          </w:p>
        </w:tc>
        <w:tc>
          <w:tcPr>
            <w:tcW w:w="4496" w:type="dxa"/>
          </w:tcPr>
          <w:p w14:paraId="7215B3B7" w14:textId="77777777" w:rsidR="003E584D" w:rsidRPr="003E584D" w:rsidRDefault="003E584D" w:rsidP="004919BF">
            <w:pPr>
              <w:jc w:val="both"/>
              <w:rPr>
                <w:rFonts w:eastAsia="SimSun"/>
                <w:b/>
                <w:bCs/>
                <w:sz w:val="20"/>
                <w:szCs w:val="20"/>
              </w:rPr>
            </w:pPr>
            <w:r w:rsidRPr="003E584D">
              <w:rPr>
                <w:b/>
                <w:bCs/>
                <w:sz w:val="20"/>
                <w:szCs w:val="20"/>
                <w:lang w:eastAsia="zh-CN"/>
              </w:rPr>
              <w:t>WG_photo_WoA-2022_00003_PR</w:t>
            </w:r>
            <w:r w:rsidRPr="003E584D">
              <w:rPr>
                <w:rFonts w:eastAsia="SimSun" w:hint="eastAsia"/>
                <w:b/>
                <w:bCs/>
                <w:sz w:val="20"/>
                <w:szCs w:val="20"/>
              </w:rPr>
              <w:t xml:space="preserve"> </w:t>
            </w:r>
          </w:p>
          <w:p w14:paraId="1A15401B" w14:textId="77777777" w:rsidR="003E584D" w:rsidRDefault="003E584D" w:rsidP="004919BF">
            <w:pPr>
              <w:jc w:val="both"/>
              <w:rPr>
                <w:rFonts w:eastAsia="SimSun"/>
                <w:sz w:val="20"/>
              </w:rPr>
            </w:pPr>
          </w:p>
          <w:p w14:paraId="31403ACA" w14:textId="77777777" w:rsidR="003E584D" w:rsidRDefault="003E584D" w:rsidP="003E584D">
            <w:pPr>
              <w:rPr>
                <w:rFonts w:eastAsia="Calibri" w:cs="Arial"/>
                <w:bCs/>
                <w:sz w:val="20"/>
                <w:szCs w:val="20"/>
                <w:lang w:eastAsia="zh-CN"/>
              </w:rPr>
            </w:pPr>
            <w:r>
              <w:rPr>
                <w:rFonts w:eastAsia="SimSun" w:hint="eastAsia"/>
                <w:sz w:val="20"/>
                <w:lang w:eastAsia="zh-CN"/>
              </w:rPr>
              <w:t>福格勒展出了一系列不同尺寸的各种高性能摊铺机—从最小的路面摊铺机超级</w:t>
            </w:r>
            <w:r>
              <w:rPr>
                <w:rFonts w:eastAsia="SimSun" w:hint="eastAsia"/>
                <w:sz w:val="20"/>
                <w:lang w:eastAsia="zh-CN"/>
              </w:rPr>
              <w:t xml:space="preserve"> 700i</w:t>
            </w:r>
            <w:r>
              <w:rPr>
                <w:rFonts w:eastAsia="SimSun" w:hint="eastAsia"/>
                <w:sz w:val="20"/>
                <w:lang w:eastAsia="zh-CN"/>
              </w:rPr>
              <w:t>，再到装备喷洒模块的超级</w:t>
            </w:r>
            <w:r>
              <w:rPr>
                <w:rFonts w:eastAsia="SimSun" w:hint="eastAsia"/>
                <w:sz w:val="20"/>
                <w:lang w:eastAsia="zh-CN"/>
              </w:rPr>
              <w:t xml:space="preserve"> 1800-3i </w:t>
            </w:r>
            <w:r>
              <w:rPr>
                <w:rFonts w:eastAsia="SimSun" w:hint="eastAsia"/>
                <w:sz w:val="20"/>
                <w:lang w:eastAsia="zh-CN"/>
              </w:rPr>
              <w:t>特殊机型，再到夺人眼球的超级</w:t>
            </w:r>
            <w:r>
              <w:rPr>
                <w:rFonts w:eastAsia="SimSun" w:hint="eastAsia"/>
                <w:sz w:val="20"/>
                <w:lang w:eastAsia="zh-CN"/>
              </w:rPr>
              <w:t xml:space="preserve"> 2000-3i </w:t>
            </w:r>
            <w:r>
              <w:rPr>
                <w:rFonts w:eastAsia="SimSun" w:hint="eastAsia"/>
                <w:sz w:val="20"/>
                <w:lang w:eastAsia="zh-CN"/>
              </w:rPr>
              <w:t>摊铺机，可谓实力非凡。</w:t>
            </w:r>
          </w:p>
          <w:p w14:paraId="5986CBE3" w14:textId="77777777" w:rsidR="003E584D" w:rsidRDefault="003E584D" w:rsidP="004919BF">
            <w:pPr>
              <w:pStyle w:val="Text"/>
              <w:spacing w:line="276" w:lineRule="auto"/>
              <w:rPr>
                <w:sz w:val="20"/>
              </w:rPr>
            </w:pPr>
          </w:p>
        </w:tc>
      </w:tr>
    </w:tbl>
    <w:p w14:paraId="5D94501A" w14:textId="3890D3EB" w:rsidR="006236DC" w:rsidRPr="00404053" w:rsidRDefault="006236DC" w:rsidP="006236DC">
      <w:pPr>
        <w:jc w:val="both"/>
        <w:rPr>
          <w:rFonts w:ascii="SimSun" w:eastAsia="SimSun" w:hAnsi="SimSun" w:cs="SimSun"/>
          <w:color w:val="000000" w:themeColor="text1"/>
          <w:sz w:val="22"/>
          <w:szCs w:val="24"/>
          <w:lang w:eastAsia="zh-CN"/>
        </w:rPr>
      </w:pPr>
      <w:r w:rsidRPr="00404053">
        <w:rPr>
          <w:rFonts w:ascii="SimSun" w:eastAsia="SimSun" w:hAnsi="SimSun" w:cs="SimSun"/>
          <w:color w:val="000000" w:themeColor="text1"/>
          <w:sz w:val="22"/>
          <w:szCs w:val="24"/>
          <w:lang w:eastAsia="zh-CN"/>
        </w:rPr>
        <w:t> </w:t>
      </w:r>
    </w:p>
    <w:p w14:paraId="46AD0FAC" w14:textId="783F095B" w:rsidR="00155356" w:rsidRDefault="00155356" w:rsidP="00155356">
      <w:pPr>
        <w:rPr>
          <w:rFonts w:eastAsia="Calibri" w:cs="Arial"/>
          <w:bCs/>
          <w:sz w:val="20"/>
          <w:szCs w:val="20"/>
          <w:lang w:eastAsia="zh-CN"/>
        </w:rPr>
      </w:pPr>
    </w:p>
    <w:p w14:paraId="2556DA07" w14:textId="0FF6FCA9" w:rsidR="00155356" w:rsidRDefault="00155356" w:rsidP="00155356">
      <w:pPr>
        <w:rPr>
          <w:rFonts w:eastAsia="Calibri" w:cs="Arial"/>
          <w:bCs/>
          <w:sz w:val="20"/>
          <w:szCs w:val="20"/>
          <w:lang w:eastAsia="zh-CN"/>
        </w:rPr>
      </w:pPr>
    </w:p>
    <w:p w14:paraId="7B74ABA4" w14:textId="45E9A2D2" w:rsidR="000D7A9A" w:rsidRPr="006236DC" w:rsidRDefault="000D7A9A" w:rsidP="00155356">
      <w:pPr>
        <w:rPr>
          <w:rFonts w:cs="Arial"/>
          <w:bCs/>
          <w:sz w:val="20"/>
          <w:szCs w:val="20"/>
          <w:lang w:eastAsia="zh-CN"/>
        </w:rPr>
      </w:pPr>
    </w:p>
    <w:p w14:paraId="59B049BE" w14:textId="77777777" w:rsidR="003E584D" w:rsidRDefault="003E584D" w:rsidP="003E584D">
      <w:pPr>
        <w:pStyle w:val="Text"/>
        <w:rPr>
          <w:rFonts w:asciiTheme="minorHAnsi" w:hAnsiTheme="minorHAnsi" w:cstheme="minorBidi"/>
        </w:rPr>
      </w:pPr>
    </w:p>
    <w:tbl>
      <w:tblPr>
        <w:tblStyle w:val="Basic"/>
        <w:tblW w:w="0" w:type="auto"/>
        <w:tblCellSpacing w:w="71" w:type="dxa"/>
        <w:tblLook w:val="04A0" w:firstRow="1" w:lastRow="0" w:firstColumn="1" w:lastColumn="0" w:noHBand="0" w:noVBand="1"/>
      </w:tblPr>
      <w:tblGrid>
        <w:gridCol w:w="4815"/>
        <w:gridCol w:w="4709"/>
      </w:tblGrid>
      <w:tr w:rsidR="003E584D" w14:paraId="13978515" w14:textId="77777777" w:rsidTr="004919BF">
        <w:trPr>
          <w:cnfStyle w:val="100000000000" w:firstRow="1" w:lastRow="0" w:firstColumn="0" w:lastColumn="0" w:oddVBand="0" w:evenVBand="0" w:oddHBand="0" w:evenHBand="0" w:firstRowFirstColumn="0" w:firstRowLastColumn="0" w:lastRowFirstColumn="0" w:lastRowLastColumn="0"/>
          <w:tblCellSpacing w:w="71" w:type="dxa"/>
        </w:trPr>
        <w:tc>
          <w:tcPr>
            <w:tcW w:w="4602" w:type="dxa"/>
            <w:tcBorders>
              <w:top w:val="nil"/>
              <w:left w:val="nil"/>
              <w:bottom w:val="nil"/>
              <w:right w:val="single" w:sz="4" w:space="0" w:color="auto"/>
            </w:tcBorders>
            <w:hideMark/>
          </w:tcPr>
          <w:p w14:paraId="5B09D22B" w14:textId="284DAAC0" w:rsidR="003E584D" w:rsidRDefault="003E584D" w:rsidP="004919BF">
            <w:pPr>
              <w:jc w:val="both"/>
              <w:rPr>
                <w:szCs w:val="20"/>
              </w:rPr>
            </w:pPr>
            <w:r>
              <w:rPr>
                <w:b/>
                <w:noProof/>
              </w:rPr>
              <w:lastRenderedPageBreak/>
              <w:drawing>
                <wp:inline distT="0" distB="0" distL="0" distR="0" wp14:anchorId="469C4C76" wp14:editId="4777A5FB">
                  <wp:extent cx="2638425" cy="1758950"/>
                  <wp:effectExtent l="0" t="0" r="9525"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657165" cy="1771443"/>
                          </a:xfrm>
                          <a:prstGeom prst="rect">
                            <a:avLst/>
                          </a:prstGeom>
                          <a:noFill/>
                          <a:ln>
                            <a:noFill/>
                          </a:ln>
                        </pic:spPr>
                      </pic:pic>
                    </a:graphicData>
                  </a:graphic>
                </wp:inline>
              </w:drawing>
            </w:r>
            <w:r>
              <w:rPr>
                <w:szCs w:val="20"/>
              </w:rPr>
              <w:t xml:space="preserve">  </w:t>
            </w:r>
          </w:p>
        </w:tc>
        <w:tc>
          <w:tcPr>
            <w:tcW w:w="4496" w:type="dxa"/>
          </w:tcPr>
          <w:p w14:paraId="2AA7A958" w14:textId="77777777" w:rsidR="0002323F" w:rsidRDefault="0002323F" w:rsidP="0002323F">
            <w:pPr>
              <w:pStyle w:val="BUbold"/>
            </w:pPr>
            <w:r w:rsidRPr="000D7A9A">
              <w:rPr>
                <w:lang w:eastAsia="zh-CN"/>
              </w:rPr>
              <w:t>WG_photo_WoA-2022_0000</w:t>
            </w:r>
            <w:r>
              <w:rPr>
                <w:lang w:eastAsia="zh-CN"/>
              </w:rPr>
              <w:t>4</w:t>
            </w:r>
            <w:r w:rsidRPr="000D7A9A">
              <w:rPr>
                <w:lang w:eastAsia="zh-CN"/>
              </w:rPr>
              <w:t>_PR</w:t>
            </w:r>
            <w:r w:rsidR="003E584D">
              <w:t xml:space="preserve"> </w:t>
            </w:r>
          </w:p>
          <w:p w14:paraId="2A12B2E5" w14:textId="77777777" w:rsidR="0002323F" w:rsidRDefault="0002323F" w:rsidP="0002323F">
            <w:pPr>
              <w:pStyle w:val="BUbold"/>
              <w:rPr>
                <w:rFonts w:ascii="SimSun" w:hAnsi="SimSun"/>
              </w:rPr>
            </w:pPr>
          </w:p>
          <w:p w14:paraId="51948C62" w14:textId="7D1858C7" w:rsidR="0002323F" w:rsidRPr="0002323F" w:rsidRDefault="0002323F" w:rsidP="0002323F">
            <w:pPr>
              <w:pStyle w:val="BUbold"/>
              <w:rPr>
                <w:b w:val="0"/>
                <w:bCs/>
              </w:rPr>
            </w:pPr>
            <w:r w:rsidRPr="0002323F">
              <w:rPr>
                <w:rFonts w:ascii="SimSun" w:eastAsia="SimSun" w:hAnsi="SimSun" w:cs="SimSun" w:hint="eastAsia"/>
                <w:b w:val="0"/>
                <w:bCs/>
                <w:lang w:eastAsia="zh-CN"/>
              </w:rPr>
              <w:t>适用于北美市场的全新机型：这款悍马小型充气胶轮压路机的工作宽度是</w:t>
            </w:r>
            <w:r w:rsidRPr="0002323F">
              <w:rPr>
                <w:rFonts w:hint="eastAsia"/>
                <w:b w:val="0"/>
                <w:bCs/>
                <w:lang w:eastAsia="zh-CN"/>
              </w:rPr>
              <w:t xml:space="preserve"> </w:t>
            </w:r>
            <w:r w:rsidRPr="0002323F">
              <w:rPr>
                <w:b w:val="0"/>
                <w:bCs/>
                <w:lang w:eastAsia="zh-CN"/>
              </w:rPr>
              <w:t>1,276 mm</w:t>
            </w:r>
            <w:r w:rsidRPr="0002323F">
              <w:rPr>
                <w:rFonts w:ascii="SimSun" w:eastAsia="SimSun" w:hAnsi="SimSun" w:cs="SimSun" w:hint="eastAsia"/>
                <w:b w:val="0"/>
                <w:bCs/>
                <w:lang w:eastAsia="zh-CN"/>
              </w:rPr>
              <w:t>，最大工作重量是</w:t>
            </w:r>
            <w:r w:rsidRPr="0002323F">
              <w:rPr>
                <w:b w:val="0"/>
                <w:bCs/>
                <w:lang w:eastAsia="zh-CN"/>
              </w:rPr>
              <w:t>4,400 kg</w:t>
            </w:r>
            <w:r w:rsidRPr="0002323F">
              <w:rPr>
                <w:rFonts w:ascii="SimSun" w:eastAsia="SimSun" w:hAnsi="SimSun" w:cs="SimSun" w:hint="eastAsia"/>
                <w:b w:val="0"/>
                <w:bCs/>
                <w:lang w:eastAsia="zh-CN"/>
              </w:rPr>
              <w:t>，为来访者留下了深刻印象。</w:t>
            </w:r>
          </w:p>
          <w:p w14:paraId="1A824B82" w14:textId="77777777" w:rsidR="003E584D" w:rsidRDefault="003E584D" w:rsidP="004919BF">
            <w:pPr>
              <w:pStyle w:val="Text"/>
              <w:spacing w:line="276" w:lineRule="auto"/>
              <w:rPr>
                <w:sz w:val="20"/>
                <w:lang w:eastAsia="zh-CN"/>
              </w:rPr>
            </w:pPr>
          </w:p>
        </w:tc>
      </w:tr>
    </w:tbl>
    <w:p w14:paraId="36D93BB7" w14:textId="77777777" w:rsidR="003E584D" w:rsidRDefault="003E584D" w:rsidP="003E584D">
      <w:pPr>
        <w:pStyle w:val="Text"/>
        <w:rPr>
          <w:rFonts w:asciiTheme="minorHAnsi" w:hAnsiTheme="minorHAnsi" w:cstheme="minorBidi"/>
          <w:lang w:eastAsia="zh-CN"/>
        </w:rPr>
      </w:pPr>
    </w:p>
    <w:tbl>
      <w:tblPr>
        <w:tblStyle w:val="Basic"/>
        <w:tblW w:w="0" w:type="auto"/>
        <w:tblCellSpacing w:w="71" w:type="dxa"/>
        <w:tblLook w:val="04A0" w:firstRow="1" w:lastRow="0" w:firstColumn="1" w:lastColumn="0" w:noHBand="0" w:noVBand="1"/>
      </w:tblPr>
      <w:tblGrid>
        <w:gridCol w:w="4815"/>
        <w:gridCol w:w="4709"/>
      </w:tblGrid>
      <w:tr w:rsidR="003E584D" w14:paraId="5951792E" w14:textId="77777777" w:rsidTr="004919BF">
        <w:trPr>
          <w:cnfStyle w:val="100000000000" w:firstRow="1" w:lastRow="0" w:firstColumn="0" w:lastColumn="0" w:oddVBand="0" w:evenVBand="0" w:oddHBand="0" w:evenHBand="0" w:firstRowFirstColumn="0" w:firstRowLastColumn="0" w:lastRowFirstColumn="0" w:lastRowLastColumn="0"/>
          <w:trHeight w:val="13"/>
          <w:tblCellSpacing w:w="71" w:type="dxa"/>
        </w:trPr>
        <w:tc>
          <w:tcPr>
            <w:tcW w:w="4602" w:type="dxa"/>
            <w:tcBorders>
              <w:top w:val="nil"/>
              <w:left w:val="nil"/>
              <w:bottom w:val="nil"/>
              <w:right w:val="single" w:sz="4" w:space="0" w:color="auto"/>
            </w:tcBorders>
            <w:hideMark/>
          </w:tcPr>
          <w:p w14:paraId="46D4A117" w14:textId="5FCAE711" w:rsidR="003E584D" w:rsidRDefault="003E584D" w:rsidP="004919BF">
            <w:pPr>
              <w:jc w:val="both"/>
              <w:rPr>
                <w:szCs w:val="20"/>
              </w:rPr>
            </w:pPr>
            <w:r>
              <w:rPr>
                <w:noProof/>
              </w:rPr>
              <w:drawing>
                <wp:inline distT="0" distB="0" distL="0" distR="0" wp14:anchorId="060F72BD" wp14:editId="5C8B6A04">
                  <wp:extent cx="2619375" cy="1746250"/>
                  <wp:effectExtent l="0" t="0" r="9525" b="635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621453" cy="1747635"/>
                          </a:xfrm>
                          <a:prstGeom prst="rect">
                            <a:avLst/>
                          </a:prstGeom>
                          <a:noFill/>
                        </pic:spPr>
                      </pic:pic>
                    </a:graphicData>
                  </a:graphic>
                </wp:inline>
              </w:drawing>
            </w:r>
          </w:p>
        </w:tc>
        <w:tc>
          <w:tcPr>
            <w:tcW w:w="4496" w:type="dxa"/>
          </w:tcPr>
          <w:p w14:paraId="6634BF60" w14:textId="4ED3D171" w:rsidR="003E584D" w:rsidRPr="003E584D" w:rsidRDefault="003E584D" w:rsidP="004919BF">
            <w:pPr>
              <w:jc w:val="both"/>
              <w:rPr>
                <w:rFonts w:eastAsia="SimSun"/>
                <w:b/>
                <w:bCs/>
                <w:sz w:val="20"/>
                <w:szCs w:val="20"/>
              </w:rPr>
            </w:pPr>
            <w:r w:rsidRPr="003E584D">
              <w:rPr>
                <w:b/>
                <w:bCs/>
                <w:sz w:val="20"/>
                <w:szCs w:val="20"/>
                <w:lang w:eastAsia="zh-CN"/>
              </w:rPr>
              <w:t>WG_photo_WoA-2022_0000</w:t>
            </w:r>
            <w:r w:rsidR="0002323F">
              <w:rPr>
                <w:b/>
                <w:bCs/>
                <w:sz w:val="20"/>
                <w:szCs w:val="20"/>
                <w:lang w:eastAsia="zh-CN"/>
              </w:rPr>
              <w:t>5</w:t>
            </w:r>
            <w:r w:rsidRPr="003E584D">
              <w:rPr>
                <w:b/>
                <w:bCs/>
                <w:sz w:val="20"/>
                <w:szCs w:val="20"/>
                <w:lang w:eastAsia="zh-CN"/>
              </w:rPr>
              <w:t>_PR</w:t>
            </w:r>
            <w:r w:rsidRPr="003E584D">
              <w:rPr>
                <w:rFonts w:eastAsia="SimSun" w:hint="eastAsia"/>
                <w:b/>
                <w:bCs/>
                <w:sz w:val="20"/>
                <w:szCs w:val="20"/>
              </w:rPr>
              <w:t xml:space="preserve"> </w:t>
            </w:r>
          </w:p>
          <w:p w14:paraId="109EC5C8" w14:textId="77777777" w:rsidR="003E584D" w:rsidRDefault="003E584D" w:rsidP="004919BF">
            <w:pPr>
              <w:jc w:val="both"/>
              <w:rPr>
                <w:rFonts w:eastAsia="SimSun"/>
                <w:sz w:val="20"/>
              </w:rPr>
            </w:pPr>
          </w:p>
          <w:p w14:paraId="1857BA75" w14:textId="77777777" w:rsidR="0002323F" w:rsidRDefault="0002323F" w:rsidP="0002323F">
            <w:pPr>
              <w:rPr>
                <w:rFonts w:eastAsia="Calibri" w:cs="Arial"/>
                <w:bCs/>
                <w:sz w:val="20"/>
                <w:szCs w:val="20"/>
              </w:rPr>
            </w:pPr>
            <w:proofErr w:type="spellStart"/>
            <w:r w:rsidRPr="00EA6000">
              <w:rPr>
                <w:rFonts w:ascii="SimSun" w:eastAsia="SimSun" w:hAnsi="SimSun" w:cs="SimSun" w:hint="eastAsia"/>
                <w:bCs/>
                <w:sz w:val="20"/>
                <w:szCs w:val="20"/>
              </w:rPr>
              <w:t>现在，</w:t>
            </w:r>
            <w:r w:rsidRPr="00EA6000">
              <w:rPr>
                <w:rFonts w:eastAsia="Calibri" w:cs="Arial"/>
                <w:bCs/>
                <w:sz w:val="20"/>
                <w:szCs w:val="20"/>
              </w:rPr>
              <w:t>MOBIREX</w:t>
            </w:r>
            <w:proofErr w:type="spellEnd"/>
            <w:r w:rsidRPr="00EA6000">
              <w:rPr>
                <w:rFonts w:eastAsia="Calibri" w:cs="Arial"/>
                <w:bCs/>
                <w:sz w:val="20"/>
                <w:szCs w:val="20"/>
              </w:rPr>
              <w:t xml:space="preserve"> MR 110/130(</w:t>
            </w:r>
            <w:proofErr w:type="spellStart"/>
            <w:r w:rsidRPr="00EA6000">
              <w:rPr>
                <w:rFonts w:eastAsia="Calibri" w:cs="Arial"/>
                <w:bCs/>
                <w:sz w:val="20"/>
                <w:szCs w:val="20"/>
              </w:rPr>
              <w:t>i</w:t>
            </w:r>
            <w:proofErr w:type="spellEnd"/>
            <w:r w:rsidRPr="00EA6000">
              <w:rPr>
                <w:rFonts w:eastAsia="Calibri" w:cs="Arial"/>
                <w:bCs/>
                <w:sz w:val="20"/>
                <w:szCs w:val="20"/>
              </w:rPr>
              <w:t xml:space="preserve">) EVO2 </w:t>
            </w:r>
            <w:proofErr w:type="spellStart"/>
            <w:r w:rsidRPr="00EA6000">
              <w:rPr>
                <w:rFonts w:ascii="SimSun" w:eastAsia="SimSun" w:hAnsi="SimSun" w:cs="SimSun" w:hint="eastAsia"/>
                <w:bCs/>
                <w:sz w:val="20"/>
                <w:szCs w:val="20"/>
              </w:rPr>
              <w:t>移动反击式破碎设备可装备克磊镘的</w:t>
            </w:r>
            <w:proofErr w:type="spellEnd"/>
            <w:r w:rsidRPr="00EA6000">
              <w:rPr>
                <w:rFonts w:eastAsia="Calibri" w:cs="Arial"/>
                <w:bCs/>
                <w:sz w:val="20"/>
                <w:szCs w:val="20"/>
              </w:rPr>
              <w:t xml:space="preserve"> SPECTIVE CONNECT </w:t>
            </w:r>
            <w:proofErr w:type="spellStart"/>
            <w:r w:rsidRPr="00EA6000">
              <w:rPr>
                <w:rFonts w:ascii="SimSun" w:eastAsia="SimSun" w:hAnsi="SimSun" w:cs="SimSun" w:hint="eastAsia"/>
                <w:bCs/>
                <w:sz w:val="20"/>
                <w:szCs w:val="20"/>
              </w:rPr>
              <w:t>操控系统</w:t>
            </w:r>
            <w:proofErr w:type="spellEnd"/>
            <w:r w:rsidRPr="00EA6000">
              <w:rPr>
                <w:rFonts w:ascii="SimSun" w:eastAsia="SimSun" w:hAnsi="SimSun" w:cs="SimSun" w:hint="eastAsia"/>
                <w:bCs/>
                <w:sz w:val="20"/>
                <w:szCs w:val="20"/>
              </w:rPr>
              <w:t>。</w:t>
            </w:r>
          </w:p>
          <w:p w14:paraId="0E8D2F05" w14:textId="77777777" w:rsidR="003E584D" w:rsidRDefault="003E584D" w:rsidP="004919BF">
            <w:pPr>
              <w:pStyle w:val="Text"/>
              <w:spacing w:line="276" w:lineRule="auto"/>
              <w:rPr>
                <w:sz w:val="20"/>
              </w:rPr>
            </w:pPr>
          </w:p>
        </w:tc>
      </w:tr>
    </w:tbl>
    <w:p w14:paraId="2F183007" w14:textId="77777777" w:rsidR="000D7A9A" w:rsidRDefault="000D7A9A" w:rsidP="00155356">
      <w:pPr>
        <w:rPr>
          <w:rFonts w:eastAsia="Calibri" w:cs="Arial"/>
          <w:bCs/>
          <w:sz w:val="20"/>
          <w:szCs w:val="20"/>
          <w:lang w:eastAsia="zh-CN"/>
        </w:rPr>
      </w:pPr>
    </w:p>
    <w:p w14:paraId="73E39794" w14:textId="5F899E3F" w:rsidR="00155356" w:rsidRDefault="00155356" w:rsidP="00155356">
      <w:pPr>
        <w:rPr>
          <w:rFonts w:eastAsia="Calibri" w:cs="Arial"/>
          <w:bCs/>
          <w:sz w:val="20"/>
          <w:szCs w:val="20"/>
          <w:lang w:eastAsia="zh-CN"/>
        </w:rPr>
      </w:pPr>
    </w:p>
    <w:p w14:paraId="36CE2707" w14:textId="77777777" w:rsidR="003E584D" w:rsidRPr="00990FA6" w:rsidRDefault="003E584D" w:rsidP="003E584D">
      <w:pPr>
        <w:pStyle w:val="Text"/>
      </w:pPr>
      <w:proofErr w:type="spellStart"/>
      <w:r>
        <w:rPr>
          <w:rFonts w:hint="eastAsia"/>
          <w:i/>
          <w:u w:val="single"/>
        </w:rPr>
        <w:t>提示：</w:t>
      </w:r>
      <w:r>
        <w:rPr>
          <w:rFonts w:hint="eastAsia"/>
          <w:i/>
        </w:rPr>
        <w:t>这些图片仅供预览之用。如用于出版物的印刷，请使用我们提供的</w:t>
      </w:r>
      <w:proofErr w:type="spellEnd"/>
      <w:r>
        <w:rPr>
          <w:rFonts w:hint="eastAsia"/>
          <w:i/>
        </w:rPr>
        <w:t xml:space="preserve"> 300 dpi </w:t>
      </w:r>
      <w:proofErr w:type="spellStart"/>
      <w:r>
        <w:rPr>
          <w:rFonts w:hint="eastAsia"/>
          <w:i/>
        </w:rPr>
        <w:t>分辨率图片，其可在维特根集团网站上下载</w:t>
      </w:r>
      <w:proofErr w:type="spellEnd"/>
      <w:r>
        <w:rPr>
          <w:rFonts w:hint="eastAsia"/>
          <w:i/>
        </w:rPr>
        <w:t>。</w:t>
      </w:r>
    </w:p>
    <w:p w14:paraId="3A85B71A" w14:textId="77777777" w:rsidR="003E584D" w:rsidRDefault="003E584D" w:rsidP="00155356">
      <w:pPr>
        <w:rPr>
          <w:rFonts w:eastAsia="Calibri" w:cs="Arial"/>
          <w:bCs/>
          <w:sz w:val="20"/>
          <w:szCs w:val="20"/>
        </w:rPr>
      </w:pPr>
    </w:p>
    <w:p w14:paraId="6F46A609" w14:textId="045C9CE9" w:rsidR="00155356" w:rsidRDefault="00155356" w:rsidP="00155356">
      <w:pPr>
        <w:rPr>
          <w:rFonts w:eastAsia="Calibri" w:cs="Arial"/>
          <w:bCs/>
          <w:sz w:val="20"/>
          <w:szCs w:val="20"/>
        </w:rPr>
      </w:pPr>
    </w:p>
    <w:p w14:paraId="028E9E5E" w14:textId="77777777" w:rsidR="00155356" w:rsidRDefault="00155356" w:rsidP="00155356">
      <w:pPr>
        <w:rPr>
          <w:iCs/>
        </w:rPr>
      </w:pPr>
    </w:p>
    <w:p w14:paraId="6AF3C8C9" w14:textId="77777777" w:rsidR="0002323F" w:rsidRPr="00990FA6" w:rsidRDefault="0002323F" w:rsidP="0002323F">
      <w:pPr>
        <w:pStyle w:val="Text"/>
      </w:pPr>
    </w:p>
    <w:tbl>
      <w:tblPr>
        <w:tblStyle w:val="Basic"/>
        <w:tblW w:w="0" w:type="auto"/>
        <w:tblLook w:val="04A0" w:firstRow="1" w:lastRow="0" w:firstColumn="1" w:lastColumn="0" w:noHBand="0" w:noVBand="1"/>
      </w:tblPr>
      <w:tblGrid>
        <w:gridCol w:w="4776"/>
        <w:gridCol w:w="4748"/>
      </w:tblGrid>
      <w:tr w:rsidR="0002323F" w:rsidRPr="00990FA6" w14:paraId="738A83A5" w14:textId="77777777" w:rsidTr="004919BF">
        <w:trPr>
          <w:cnfStyle w:val="100000000000" w:firstRow="1" w:lastRow="0" w:firstColumn="0" w:lastColumn="0" w:oddVBand="0" w:evenVBand="0" w:oddHBand="0" w:evenHBand="0" w:firstRowFirstColumn="0" w:firstRowLastColumn="0" w:lastRowFirstColumn="0" w:lastRowLastColumn="0"/>
        </w:trPr>
        <w:tc>
          <w:tcPr>
            <w:tcW w:w="4776" w:type="dxa"/>
            <w:tcBorders>
              <w:top w:val="nil"/>
              <w:left w:val="nil"/>
              <w:bottom w:val="nil"/>
              <w:right w:val="single" w:sz="48" w:space="0" w:color="FFFFFF" w:themeColor="background1"/>
            </w:tcBorders>
          </w:tcPr>
          <w:p w14:paraId="256AC354" w14:textId="77777777" w:rsidR="0002323F" w:rsidRPr="001D5801" w:rsidRDefault="0002323F" w:rsidP="004919BF">
            <w:pPr>
              <w:pStyle w:val="HeadlineKontakte"/>
              <w:jc w:val="both"/>
            </w:pPr>
            <w:bookmarkStart w:id="3" w:name="_Hlk100647087"/>
            <w:proofErr w:type="spellStart"/>
            <w:r>
              <w:rPr>
                <w:rFonts w:hint="eastAsia"/>
                <w:caps w:val="0"/>
              </w:rPr>
              <w:t>欲知更多信息</w:t>
            </w:r>
            <w:proofErr w:type="spellEnd"/>
            <w:r w:rsidRPr="001D5801">
              <w:rPr>
                <w:rFonts w:hint="eastAsia"/>
              </w:rPr>
              <w:t xml:space="preserve"> </w:t>
            </w:r>
          </w:p>
          <w:p w14:paraId="0BD42E2F" w14:textId="77777777" w:rsidR="0002323F" w:rsidRPr="001D5801" w:rsidRDefault="0002323F" w:rsidP="004919BF">
            <w:pPr>
              <w:pStyle w:val="HeadlineKontakte"/>
              <w:jc w:val="both"/>
            </w:pPr>
            <w:proofErr w:type="spellStart"/>
            <w:r>
              <w:rPr>
                <w:rFonts w:hint="eastAsia"/>
              </w:rPr>
              <w:t>请联系</w:t>
            </w:r>
            <w:proofErr w:type="spellEnd"/>
            <w:r w:rsidRPr="001D5801">
              <w:rPr>
                <w:rFonts w:hint="eastAsia"/>
              </w:rPr>
              <w:t>：</w:t>
            </w:r>
          </w:p>
          <w:p w14:paraId="65FC6B2F" w14:textId="77777777" w:rsidR="0002323F" w:rsidRPr="001D5801" w:rsidRDefault="0002323F" w:rsidP="004919BF">
            <w:pPr>
              <w:pStyle w:val="Text"/>
            </w:pPr>
            <w:r w:rsidRPr="001D5801">
              <w:rPr>
                <w:rFonts w:hint="eastAsia"/>
              </w:rPr>
              <w:t>WIRTGEN GROUP</w:t>
            </w:r>
          </w:p>
          <w:p w14:paraId="1FA8C710" w14:textId="77777777" w:rsidR="0002323F" w:rsidRPr="001D5801" w:rsidRDefault="0002323F" w:rsidP="004919BF">
            <w:pPr>
              <w:pStyle w:val="Text"/>
            </w:pPr>
            <w:r w:rsidRPr="001D5801">
              <w:rPr>
                <w:rFonts w:hint="eastAsia"/>
              </w:rPr>
              <w:t>Public Relations</w:t>
            </w:r>
          </w:p>
          <w:p w14:paraId="28E97440" w14:textId="77777777" w:rsidR="0002323F" w:rsidRPr="0002323F" w:rsidRDefault="0002323F" w:rsidP="004919BF">
            <w:pPr>
              <w:pStyle w:val="Text"/>
              <w:rPr>
                <w:lang w:val="de-DE"/>
              </w:rPr>
            </w:pPr>
            <w:r w:rsidRPr="0002323F">
              <w:rPr>
                <w:rFonts w:hint="eastAsia"/>
                <w:lang w:val="de-DE"/>
              </w:rPr>
              <w:t>Reinhard-Wirtgen-Straße 2</w:t>
            </w:r>
          </w:p>
          <w:p w14:paraId="1F1D8103" w14:textId="77777777" w:rsidR="0002323F" w:rsidRPr="0002323F" w:rsidRDefault="0002323F" w:rsidP="004919BF">
            <w:pPr>
              <w:pStyle w:val="Text"/>
              <w:rPr>
                <w:lang w:val="de-DE"/>
              </w:rPr>
            </w:pPr>
            <w:r w:rsidRPr="0002323F">
              <w:rPr>
                <w:rFonts w:hint="eastAsia"/>
                <w:lang w:val="de-DE"/>
              </w:rPr>
              <w:t>53578 Windhagen</w:t>
            </w:r>
          </w:p>
          <w:p w14:paraId="49EB07B0" w14:textId="77777777" w:rsidR="0002323F" w:rsidRPr="0002323F" w:rsidRDefault="0002323F" w:rsidP="004919BF">
            <w:pPr>
              <w:pStyle w:val="Text"/>
              <w:rPr>
                <w:lang w:val="de-DE"/>
              </w:rPr>
            </w:pPr>
            <w:r w:rsidRPr="0002323F">
              <w:rPr>
                <w:rFonts w:hint="eastAsia"/>
                <w:lang w:val="de-DE"/>
              </w:rPr>
              <w:t>Germany</w:t>
            </w:r>
          </w:p>
          <w:p w14:paraId="5892BC3C" w14:textId="77777777" w:rsidR="0002323F" w:rsidRPr="0002323F" w:rsidRDefault="0002323F" w:rsidP="004919BF">
            <w:pPr>
              <w:pStyle w:val="Text"/>
              <w:rPr>
                <w:szCs w:val="20"/>
                <w:lang w:val="de-DE"/>
              </w:rPr>
            </w:pPr>
          </w:p>
          <w:p w14:paraId="104C26B6" w14:textId="77777777" w:rsidR="0002323F" w:rsidRPr="0002323F" w:rsidRDefault="0002323F" w:rsidP="004919BF">
            <w:pPr>
              <w:pStyle w:val="Text"/>
              <w:rPr>
                <w:color w:val="FF0000"/>
                <w:lang w:val="de-DE"/>
              </w:rPr>
            </w:pPr>
            <w:proofErr w:type="spellStart"/>
            <w:r>
              <w:rPr>
                <w:rFonts w:hint="eastAsia"/>
              </w:rPr>
              <w:t>电话</w:t>
            </w:r>
            <w:proofErr w:type="spellEnd"/>
            <w:r w:rsidRPr="0002323F">
              <w:rPr>
                <w:rFonts w:hint="eastAsia"/>
                <w:lang w:val="de-DE"/>
              </w:rPr>
              <w:t>：</w:t>
            </w:r>
            <w:r w:rsidRPr="0002323F">
              <w:rPr>
                <w:rFonts w:hint="eastAsia"/>
                <w:lang w:val="de-DE"/>
              </w:rPr>
              <w:t xml:space="preserve"> +49 (0) 2645 131 </w:t>
            </w:r>
            <w:r w:rsidRPr="0002323F">
              <w:rPr>
                <w:rFonts w:hint="eastAsia"/>
                <w:lang w:val="de-DE"/>
              </w:rPr>
              <w:t>–</w:t>
            </w:r>
            <w:r w:rsidRPr="0002323F">
              <w:rPr>
                <w:rFonts w:hint="eastAsia"/>
                <w:lang w:val="de-DE"/>
              </w:rPr>
              <w:t xml:space="preserve"> 1966</w:t>
            </w:r>
            <w:r w:rsidRPr="0002323F">
              <w:rPr>
                <w:rFonts w:hint="eastAsia"/>
                <w:color w:val="FF0000"/>
                <w:lang w:val="de-DE"/>
              </w:rPr>
              <w:t xml:space="preserve"> </w:t>
            </w:r>
          </w:p>
          <w:p w14:paraId="5475D095" w14:textId="77777777" w:rsidR="0002323F" w:rsidRPr="0002323F" w:rsidRDefault="0002323F" w:rsidP="004919BF">
            <w:pPr>
              <w:pStyle w:val="Text"/>
              <w:rPr>
                <w:lang w:val="de-DE"/>
              </w:rPr>
            </w:pPr>
            <w:proofErr w:type="spellStart"/>
            <w:r>
              <w:rPr>
                <w:rFonts w:hint="eastAsia"/>
              </w:rPr>
              <w:t>传真</w:t>
            </w:r>
            <w:proofErr w:type="spellEnd"/>
            <w:r w:rsidRPr="0002323F">
              <w:rPr>
                <w:rFonts w:hint="eastAsia"/>
                <w:lang w:val="de-DE"/>
              </w:rPr>
              <w:t>：</w:t>
            </w:r>
            <w:r w:rsidRPr="0002323F">
              <w:rPr>
                <w:rFonts w:hint="eastAsia"/>
                <w:lang w:val="de-DE"/>
              </w:rPr>
              <w:t xml:space="preserve">+49 (0) 2645 131 </w:t>
            </w:r>
            <w:r w:rsidRPr="0002323F">
              <w:rPr>
                <w:rFonts w:hint="eastAsia"/>
                <w:lang w:val="de-DE"/>
              </w:rPr>
              <w:t>–</w:t>
            </w:r>
            <w:r w:rsidRPr="0002323F">
              <w:rPr>
                <w:rFonts w:hint="eastAsia"/>
                <w:lang w:val="de-DE"/>
              </w:rPr>
              <w:t xml:space="preserve"> 499</w:t>
            </w:r>
          </w:p>
          <w:p w14:paraId="46CFD45F" w14:textId="77777777" w:rsidR="0002323F" w:rsidRPr="0002323F" w:rsidRDefault="0002323F" w:rsidP="004919BF">
            <w:pPr>
              <w:pStyle w:val="Text"/>
              <w:rPr>
                <w:lang w:val="de-DE"/>
              </w:rPr>
            </w:pPr>
            <w:proofErr w:type="spellStart"/>
            <w:r>
              <w:rPr>
                <w:rFonts w:hint="eastAsia"/>
              </w:rPr>
              <w:t>电邮</w:t>
            </w:r>
            <w:proofErr w:type="spellEnd"/>
            <w:r w:rsidRPr="0002323F">
              <w:rPr>
                <w:rFonts w:hint="eastAsia"/>
                <w:lang w:val="de-DE"/>
              </w:rPr>
              <w:t>：</w:t>
            </w:r>
            <w:r w:rsidRPr="0002323F">
              <w:rPr>
                <w:rFonts w:hint="eastAsia"/>
                <w:lang w:val="de-DE"/>
              </w:rPr>
              <w:t>PR@wirtgen-group.com</w:t>
            </w:r>
          </w:p>
          <w:p w14:paraId="122F5E13" w14:textId="79FD0ED9" w:rsidR="0002323F" w:rsidRPr="0002323F" w:rsidRDefault="0002323F" w:rsidP="004919BF">
            <w:pPr>
              <w:pStyle w:val="Text"/>
            </w:pPr>
            <w:r>
              <w:rPr>
                <w:rFonts w:hint="eastAsia"/>
              </w:rPr>
              <w:t>www.wirtgen-group.com</w:t>
            </w:r>
            <w:bookmarkEnd w:id="3"/>
          </w:p>
          <w:p w14:paraId="3E38B97F" w14:textId="77777777" w:rsidR="0002323F" w:rsidRPr="00990FA6" w:rsidRDefault="0002323F" w:rsidP="004919BF">
            <w:pPr>
              <w:pStyle w:val="Text"/>
              <w:rPr>
                <w:szCs w:val="20"/>
              </w:rPr>
            </w:pPr>
          </w:p>
        </w:tc>
        <w:tc>
          <w:tcPr>
            <w:tcW w:w="4748" w:type="dxa"/>
            <w:tcBorders>
              <w:top w:val="nil"/>
              <w:left w:val="single" w:sz="48" w:space="0" w:color="FFFFFF" w:themeColor="background1"/>
              <w:bottom w:val="nil"/>
              <w:right w:val="nil"/>
            </w:tcBorders>
          </w:tcPr>
          <w:p w14:paraId="213118A0" w14:textId="77777777" w:rsidR="0002323F" w:rsidRPr="00990FA6" w:rsidRDefault="0002323F" w:rsidP="004919BF">
            <w:pPr>
              <w:pStyle w:val="Text"/>
              <w:rPr>
                <w:szCs w:val="20"/>
              </w:rPr>
            </w:pPr>
          </w:p>
        </w:tc>
      </w:tr>
    </w:tbl>
    <w:p w14:paraId="3D604A55" w14:textId="0A151E14" w:rsidR="00F048D4" w:rsidRPr="00F74540" w:rsidRDefault="00F048D4" w:rsidP="0002323F">
      <w:pPr>
        <w:pStyle w:val="HeadlineKontakte"/>
        <w:pBdr>
          <w:bottom w:val="single" w:sz="4" w:space="11" w:color="auto"/>
        </w:pBdr>
        <w:jc w:val="both"/>
        <w:cnfStyle w:val="100000000000" w:firstRow="1" w:lastRow="0" w:firstColumn="0" w:lastColumn="0" w:oddVBand="0" w:evenVBand="0" w:oddHBand="0" w:evenHBand="0" w:firstRowFirstColumn="0" w:firstRowLastColumn="0" w:lastRowFirstColumn="0" w:lastRowLastColumn="0"/>
      </w:pPr>
    </w:p>
    <w:sectPr w:rsidR="00F048D4" w:rsidRPr="00F74540"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45862" w14:textId="77777777" w:rsidR="00EF158F" w:rsidRDefault="00EF158F" w:rsidP="00E55534">
      <w:r>
        <w:separator/>
      </w:r>
    </w:p>
  </w:endnote>
  <w:endnote w:type="continuationSeparator" w:id="0">
    <w:p w14:paraId="380868CA" w14:textId="77777777" w:rsidR="00EF158F" w:rsidRDefault="00EF158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7E203C" id="Rechteck 12" o:spid="_x0000_s1026" style="position:absolute;left:0;text-align:left;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0D7A9A">
            <w:rPr>
              <w:rStyle w:val="Hervorhebung"/>
              <w:lang w:val="de-DE"/>
            </w:rPr>
            <w:t>WIRTGEN GmbH</w:t>
          </w:r>
          <w:r w:rsidRPr="000D7A9A">
            <w:rPr>
              <w:lang w:val="de-DE"/>
            </w:rPr>
            <w:t xml:space="preserve"> · Reinhard-Wirtgen-Str. </w:t>
          </w:r>
          <w:r>
            <w:t xml:space="preserve">2 · 53578 </w:t>
          </w:r>
          <w:proofErr w:type="spellStart"/>
          <w:r>
            <w:t>Windhagen</w:t>
          </w:r>
          <w:proofErr w:type="spellEnd"/>
          <w:r>
            <w:t>, Germany · T: +49-26-45-131-0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D202CF" id="Rechteck 6" o:spid="_x0000_s1026" style="position:absolute;left:0;text-align:left;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80242" w14:textId="77777777" w:rsidR="00EF158F" w:rsidRDefault="00EF158F" w:rsidP="00E55534">
      <w:r>
        <w:separator/>
      </w:r>
    </w:p>
  </w:footnote>
  <w:footnote w:type="continuationSeparator" w:id="0">
    <w:p w14:paraId="6BCACA5D" w14:textId="77777777" w:rsidR="00EF158F" w:rsidRDefault="00EF158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EBA96" w14:textId="52934A1B" w:rsidR="00202C7C" w:rsidRDefault="000D7A9A">
    <w:pPr>
      <w:pStyle w:val="Kopfzeile"/>
    </w:pPr>
    <w:r>
      <w:rPr>
        <w:noProof/>
      </w:rPr>
      <mc:AlternateContent>
        <mc:Choice Requires="wps">
          <w:drawing>
            <wp:anchor distT="0" distB="0" distL="0" distR="0" simplePos="0" relativeHeight="251662336" behindDoc="0" locked="0" layoutInCell="1" allowOverlap="1" wp14:anchorId="778EDDAC" wp14:editId="5B3BBA50">
              <wp:simplePos x="635" y="635"/>
              <wp:positionH relativeFrom="rightMargin">
                <wp:align>right</wp:align>
              </wp:positionH>
              <wp:positionV relativeFrom="paragraph">
                <wp:posOffset>635</wp:posOffset>
              </wp:positionV>
              <wp:extent cx="443865" cy="443865"/>
              <wp:effectExtent l="0" t="0" r="0" b="16510"/>
              <wp:wrapSquare wrapText="bothSides"/>
              <wp:docPr id="16" name="Textfeld 16"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0C7810" w14:textId="5766ED74" w:rsidR="000D7A9A" w:rsidRPr="000D7A9A" w:rsidRDefault="000D7A9A">
                          <w:pPr>
                            <w:rPr>
                              <w:rFonts w:ascii="Calibri" w:eastAsia="Calibri" w:hAnsi="Calibri" w:cs="Calibri"/>
                              <w:color w:val="FF0000"/>
                              <w:sz w:val="20"/>
                              <w:szCs w:val="20"/>
                            </w:rPr>
                          </w:pPr>
                          <w:r w:rsidRPr="000D7A9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78EDDAC" id="_x0000_t202" coordsize="21600,21600" o:spt="202" path="m,l,21600r21600,l21600,xe">
              <v:stroke joinstyle="miter"/>
              <v:path gradientshapeok="t" o:connecttype="rect"/>
            </v:shapetype>
            <v:shape id="Textfeld 16"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ABFhxCYCAABLBAAADgAAAAAAAAAAAAAAAAAuAgAAZHJzL2Uyb0RvYy54bWxQ&#10;SwECLQAUAAYACAAAACEAEw3vsNgAAAADAQAADwAAAAAAAAAAAAAAAACABAAAZHJzL2Rvd25yZXYu&#10;eG1sUEsFBgAAAAAEAAQA8wAAAIUFAAAAAA==&#10;" filled="f" stroked="f">
              <v:textbox style="mso-fit-shape-to-text:t" inset="0,0,15pt,0">
                <w:txbxContent>
                  <w:p w14:paraId="760C7810" w14:textId="5766ED74" w:rsidR="000D7A9A" w:rsidRPr="000D7A9A" w:rsidRDefault="000D7A9A">
                    <w:pPr>
                      <w:rPr>
                        <w:rFonts w:ascii="Calibri" w:eastAsia="Calibri" w:hAnsi="Calibri" w:cs="Calibri"/>
                        <w:color w:val="FF0000"/>
                        <w:sz w:val="20"/>
                        <w:szCs w:val="20"/>
                      </w:rPr>
                    </w:pPr>
                    <w:r w:rsidRPr="000D7A9A">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574DD78" w:rsidR="00533132" w:rsidRPr="00533132" w:rsidRDefault="000D7A9A" w:rsidP="00533132">
    <w:pPr>
      <w:pStyle w:val="Kopfzeile"/>
    </w:pPr>
    <w:r>
      <w:rPr>
        <w:noProof/>
      </w:rPr>
      <mc:AlternateContent>
        <mc:Choice Requires="wps">
          <w:drawing>
            <wp:anchor distT="0" distB="0" distL="0" distR="0" simplePos="0" relativeHeight="251663360" behindDoc="0" locked="0" layoutInCell="1" allowOverlap="1" wp14:anchorId="0F61032A" wp14:editId="371A5BD4">
              <wp:simplePos x="752475" y="447675"/>
              <wp:positionH relativeFrom="rightMargin">
                <wp:align>right</wp:align>
              </wp:positionH>
              <wp:positionV relativeFrom="paragraph">
                <wp:posOffset>635</wp:posOffset>
              </wp:positionV>
              <wp:extent cx="443865" cy="443865"/>
              <wp:effectExtent l="0" t="0" r="0" b="16510"/>
              <wp:wrapSquare wrapText="bothSides"/>
              <wp:docPr id="17" name="Textfeld 1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3FD4D3" w14:textId="1BD481F7" w:rsidR="000D7A9A" w:rsidRPr="000D7A9A" w:rsidRDefault="000D7A9A">
                          <w:pPr>
                            <w:rPr>
                              <w:rFonts w:ascii="Calibri" w:eastAsia="Calibri" w:hAnsi="Calibri" w:cs="Calibri"/>
                              <w:color w:val="FF0000"/>
                              <w:sz w:val="20"/>
                              <w:szCs w:val="20"/>
                            </w:rPr>
                          </w:pPr>
                          <w:r w:rsidRPr="000D7A9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F61032A" id="_x0000_t202" coordsize="21600,21600" o:spt="202" path="m,l,21600r21600,l21600,xe">
              <v:stroke joinstyle="miter"/>
              <v:path gradientshapeok="t" o:connecttype="rect"/>
            </v:shapetype>
            <v:shape id="Textfeld 17"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SVQu0qAgAAUgQAAA4AAAAAAAAAAAAAAAAALgIAAGRycy9lMm9Eb2Mu&#10;eG1sUEsBAi0AFAAGAAgAAAAhABMN77DYAAAAAwEAAA8AAAAAAAAAAAAAAAAAhAQAAGRycy9kb3du&#10;cmV2LnhtbFBLBQYAAAAABAAEAPMAAACJBQAAAAA=&#10;" filled="f" stroked="f">
              <v:textbox style="mso-fit-shape-to-text:t" inset="0,0,15pt,0">
                <w:txbxContent>
                  <w:p w14:paraId="303FD4D3" w14:textId="1BD481F7" w:rsidR="000D7A9A" w:rsidRPr="000D7A9A" w:rsidRDefault="000D7A9A">
                    <w:pPr>
                      <w:rPr>
                        <w:rFonts w:ascii="Calibri" w:eastAsia="Calibri" w:hAnsi="Calibri" w:cs="Calibri"/>
                        <w:color w:val="FF0000"/>
                        <w:sz w:val="20"/>
                        <w:szCs w:val="20"/>
                      </w:rPr>
                    </w:pPr>
                    <w:r w:rsidRPr="000D7A9A">
                      <w:rPr>
                        <w:rFonts w:ascii="Calibri" w:eastAsia="Calibri" w:hAnsi="Calibri" w:cs="Calibri"/>
                        <w:color w:val="FF0000"/>
                        <w:sz w:val="20"/>
                        <w:szCs w:val="20"/>
                      </w:rPr>
                      <w:t>Public</w:t>
                    </w:r>
                  </w:p>
                </w:txbxContent>
              </v:textbox>
              <w10:wrap type="square" anchorx="margin"/>
            </v:shape>
          </w:pict>
        </mc:Fallback>
      </mc:AlternateContent>
    </w:r>
    <w:r w:rsidR="00202C7C">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D5831C8" w:rsidR="00533132" w:rsidRDefault="000D7A9A">
    <w:pPr>
      <w:pStyle w:val="Kopfzeile"/>
    </w:pPr>
    <w:r>
      <w:rPr>
        <w:noProof/>
      </w:rPr>
      <mc:AlternateContent>
        <mc:Choice Requires="wps">
          <w:drawing>
            <wp:anchor distT="0" distB="0" distL="0" distR="0" simplePos="0" relativeHeight="251661312" behindDoc="0" locked="0" layoutInCell="1" allowOverlap="1" wp14:anchorId="7B7AA3D6" wp14:editId="2832F143">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91883F" w14:textId="3524BCD8" w:rsidR="000D7A9A" w:rsidRPr="000D7A9A" w:rsidRDefault="000D7A9A">
                          <w:pPr>
                            <w:rPr>
                              <w:rFonts w:ascii="Calibri" w:eastAsia="Calibri" w:hAnsi="Calibri" w:cs="Calibri"/>
                              <w:color w:val="FF0000"/>
                              <w:sz w:val="20"/>
                              <w:szCs w:val="20"/>
                            </w:rPr>
                          </w:pPr>
                          <w:r w:rsidRPr="000D7A9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B7AA3D6" id="_x0000_t202" coordsize="21600,21600" o:spt="202" path="m,l,21600r21600,l21600,xe">
              <v:stroke joinstyle="miter"/>
              <v:path gradientshapeok="t" o:connecttype="rect"/>
            </v:shapetype>
            <v:shape id="Textfeld 14"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LuZgDwqAgAAUgQAAA4AAAAAAAAAAAAAAAAALgIAAGRycy9lMm9Eb2Mu&#10;eG1sUEsBAi0AFAAGAAgAAAAhABMN77DYAAAAAwEAAA8AAAAAAAAAAAAAAAAAhAQAAGRycy9kb3du&#10;cmV2LnhtbFBLBQYAAAAABAAEAPMAAACJBQAAAAA=&#10;" filled="f" stroked="f">
              <v:textbox style="mso-fit-shape-to-text:t" inset="0,0,15pt,0">
                <w:txbxContent>
                  <w:p w14:paraId="4791883F" w14:textId="3524BCD8" w:rsidR="000D7A9A" w:rsidRPr="000D7A9A" w:rsidRDefault="000D7A9A">
                    <w:pPr>
                      <w:rPr>
                        <w:rFonts w:ascii="Calibri" w:eastAsia="Calibri" w:hAnsi="Calibri" w:cs="Calibri"/>
                        <w:color w:val="FF0000"/>
                        <w:sz w:val="20"/>
                        <w:szCs w:val="20"/>
                      </w:rPr>
                    </w:pPr>
                    <w:r w:rsidRPr="000D7A9A">
                      <w:rPr>
                        <w:rFonts w:ascii="Calibri" w:eastAsia="Calibri" w:hAnsi="Calibri" w:cs="Calibri"/>
                        <w:color w:val="FF0000"/>
                        <w:sz w:val="20"/>
                        <w:szCs w:val="20"/>
                      </w:rPr>
                      <w:t>Public</w:t>
                    </w:r>
                  </w:p>
                </w:txbxContent>
              </v:textbox>
              <w10:wrap type="square" anchorx="margin"/>
            </v:shape>
          </w:pict>
        </mc:Fallback>
      </mc:AlternateContent>
    </w:r>
    <w:r w:rsidR="00202C7C">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C9416E" id="Rechteck 5" o:spid="_x0000_s1026" style="position:absolute;left:0;text-align:left;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sidR="00202C7C">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02C7C">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72" type="#_x0000_t75" style="width:1500pt;height:1500pt" o:bullet="t">
        <v:imagedata r:id="rId1" o:title="AZ_04a"/>
      </v:shape>
    </w:pict>
  </w:numPicBullet>
  <w:numPicBullet w:numPicBulletId="1">
    <w:pict>
      <v:shape id="_x0000_i1373" type="#_x0000_t75" style="width:7.2pt;height:7.2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323F"/>
    <w:rsid w:val="00025B4B"/>
    <w:rsid w:val="00035126"/>
    <w:rsid w:val="00041EC5"/>
    <w:rsid w:val="00042106"/>
    <w:rsid w:val="00046C08"/>
    <w:rsid w:val="0005285B"/>
    <w:rsid w:val="00054A6E"/>
    <w:rsid w:val="00054AB4"/>
    <w:rsid w:val="00055529"/>
    <w:rsid w:val="000575E8"/>
    <w:rsid w:val="00062C3A"/>
    <w:rsid w:val="00066D09"/>
    <w:rsid w:val="00084861"/>
    <w:rsid w:val="00086EF1"/>
    <w:rsid w:val="00095E1A"/>
    <w:rsid w:val="0009665C"/>
    <w:rsid w:val="000A0479"/>
    <w:rsid w:val="000A36D9"/>
    <w:rsid w:val="000A4C7D"/>
    <w:rsid w:val="000B582B"/>
    <w:rsid w:val="000D15C3"/>
    <w:rsid w:val="000D350F"/>
    <w:rsid w:val="000D3DFB"/>
    <w:rsid w:val="000D7A9A"/>
    <w:rsid w:val="000E1BFD"/>
    <w:rsid w:val="000E24F8"/>
    <w:rsid w:val="000E5738"/>
    <w:rsid w:val="000F4EED"/>
    <w:rsid w:val="00103205"/>
    <w:rsid w:val="00104F63"/>
    <w:rsid w:val="00112BA4"/>
    <w:rsid w:val="00113878"/>
    <w:rsid w:val="0011795C"/>
    <w:rsid w:val="0012026F"/>
    <w:rsid w:val="0012047F"/>
    <w:rsid w:val="00130601"/>
    <w:rsid w:val="00132055"/>
    <w:rsid w:val="001463AD"/>
    <w:rsid w:val="00146C3D"/>
    <w:rsid w:val="00153B47"/>
    <w:rsid w:val="00155356"/>
    <w:rsid w:val="00160C61"/>
    <w:rsid w:val="001613A6"/>
    <w:rsid w:val="001614F0"/>
    <w:rsid w:val="001616F4"/>
    <w:rsid w:val="0018021A"/>
    <w:rsid w:val="0018168B"/>
    <w:rsid w:val="00194FB1"/>
    <w:rsid w:val="001A5F8A"/>
    <w:rsid w:val="001B16BB"/>
    <w:rsid w:val="001B34EE"/>
    <w:rsid w:val="001C1A3E"/>
    <w:rsid w:val="00200355"/>
    <w:rsid w:val="00201800"/>
    <w:rsid w:val="00202C7C"/>
    <w:rsid w:val="0021351D"/>
    <w:rsid w:val="002210E7"/>
    <w:rsid w:val="002269A4"/>
    <w:rsid w:val="002354F0"/>
    <w:rsid w:val="00253A2E"/>
    <w:rsid w:val="002603EC"/>
    <w:rsid w:val="00272CB3"/>
    <w:rsid w:val="00277189"/>
    <w:rsid w:val="00282AFC"/>
    <w:rsid w:val="002834F2"/>
    <w:rsid w:val="0028456C"/>
    <w:rsid w:val="00286C15"/>
    <w:rsid w:val="002947B9"/>
    <w:rsid w:val="00294EEA"/>
    <w:rsid w:val="0029634D"/>
    <w:rsid w:val="002A1F36"/>
    <w:rsid w:val="002A5AA5"/>
    <w:rsid w:val="002C7542"/>
    <w:rsid w:val="002D065C"/>
    <w:rsid w:val="002D0780"/>
    <w:rsid w:val="002D2649"/>
    <w:rsid w:val="002D2EE5"/>
    <w:rsid w:val="002D4F0A"/>
    <w:rsid w:val="002D63E6"/>
    <w:rsid w:val="002E3419"/>
    <w:rsid w:val="002E765F"/>
    <w:rsid w:val="002E7E4E"/>
    <w:rsid w:val="002F108B"/>
    <w:rsid w:val="002F5818"/>
    <w:rsid w:val="002F70FD"/>
    <w:rsid w:val="0030316D"/>
    <w:rsid w:val="0032518C"/>
    <w:rsid w:val="0032774C"/>
    <w:rsid w:val="00332D28"/>
    <w:rsid w:val="0034191A"/>
    <w:rsid w:val="0034306D"/>
    <w:rsid w:val="003431D0"/>
    <w:rsid w:val="00343CC7"/>
    <w:rsid w:val="0036561D"/>
    <w:rsid w:val="003665BE"/>
    <w:rsid w:val="003714D1"/>
    <w:rsid w:val="0038211C"/>
    <w:rsid w:val="00384A08"/>
    <w:rsid w:val="00387E6F"/>
    <w:rsid w:val="00392541"/>
    <w:rsid w:val="00395EAB"/>
    <w:rsid w:val="003967E5"/>
    <w:rsid w:val="003A753A"/>
    <w:rsid w:val="003A7E6F"/>
    <w:rsid w:val="003B3726"/>
    <w:rsid w:val="003B3803"/>
    <w:rsid w:val="003C2A71"/>
    <w:rsid w:val="003E1CB6"/>
    <w:rsid w:val="003E3CF6"/>
    <w:rsid w:val="003E584D"/>
    <w:rsid w:val="003E759F"/>
    <w:rsid w:val="003E7853"/>
    <w:rsid w:val="003F05A8"/>
    <w:rsid w:val="003F57AB"/>
    <w:rsid w:val="003F5A85"/>
    <w:rsid w:val="00400FD9"/>
    <w:rsid w:val="004016F7"/>
    <w:rsid w:val="00403373"/>
    <w:rsid w:val="00406C81"/>
    <w:rsid w:val="00410A70"/>
    <w:rsid w:val="00412545"/>
    <w:rsid w:val="0041475A"/>
    <w:rsid w:val="00417237"/>
    <w:rsid w:val="00425546"/>
    <w:rsid w:val="00430BB0"/>
    <w:rsid w:val="00456D56"/>
    <w:rsid w:val="00467F3C"/>
    <w:rsid w:val="0047498D"/>
    <w:rsid w:val="00476100"/>
    <w:rsid w:val="00487BFC"/>
    <w:rsid w:val="00497001"/>
    <w:rsid w:val="004A0418"/>
    <w:rsid w:val="004B55EA"/>
    <w:rsid w:val="004C1967"/>
    <w:rsid w:val="004C2444"/>
    <w:rsid w:val="004D23D0"/>
    <w:rsid w:val="004D28EC"/>
    <w:rsid w:val="004D2BE0"/>
    <w:rsid w:val="004E0362"/>
    <w:rsid w:val="004E6EF5"/>
    <w:rsid w:val="004F3529"/>
    <w:rsid w:val="004F48B8"/>
    <w:rsid w:val="005001DF"/>
    <w:rsid w:val="00506409"/>
    <w:rsid w:val="0050746C"/>
    <w:rsid w:val="00530E32"/>
    <w:rsid w:val="005322D0"/>
    <w:rsid w:val="00533132"/>
    <w:rsid w:val="00537210"/>
    <w:rsid w:val="005524D1"/>
    <w:rsid w:val="005569CD"/>
    <w:rsid w:val="0056147A"/>
    <w:rsid w:val="005649F4"/>
    <w:rsid w:val="005666DC"/>
    <w:rsid w:val="005710C8"/>
    <w:rsid w:val="005711A3"/>
    <w:rsid w:val="00571A5C"/>
    <w:rsid w:val="00573B2B"/>
    <w:rsid w:val="00575102"/>
    <w:rsid w:val="00576E80"/>
    <w:rsid w:val="00577302"/>
    <w:rsid w:val="005776E9"/>
    <w:rsid w:val="005821A2"/>
    <w:rsid w:val="00587AD9"/>
    <w:rsid w:val="005909A8"/>
    <w:rsid w:val="00590CF7"/>
    <w:rsid w:val="005A3381"/>
    <w:rsid w:val="005A4F04"/>
    <w:rsid w:val="005B5793"/>
    <w:rsid w:val="005C6551"/>
    <w:rsid w:val="005C6B30"/>
    <w:rsid w:val="005C71EC"/>
    <w:rsid w:val="005E2349"/>
    <w:rsid w:val="005E764C"/>
    <w:rsid w:val="005E7F7D"/>
    <w:rsid w:val="00602094"/>
    <w:rsid w:val="006063D4"/>
    <w:rsid w:val="006236DC"/>
    <w:rsid w:val="00623910"/>
    <w:rsid w:val="00623B37"/>
    <w:rsid w:val="006330A2"/>
    <w:rsid w:val="00642EB6"/>
    <w:rsid w:val="006433E2"/>
    <w:rsid w:val="00651E5D"/>
    <w:rsid w:val="00677B5C"/>
    <w:rsid w:val="00677F11"/>
    <w:rsid w:val="00682B1A"/>
    <w:rsid w:val="00690D7C"/>
    <w:rsid w:val="00690DFE"/>
    <w:rsid w:val="006B3EEC"/>
    <w:rsid w:val="006C0C87"/>
    <w:rsid w:val="006C46F3"/>
    <w:rsid w:val="006D74CA"/>
    <w:rsid w:val="006D7EAC"/>
    <w:rsid w:val="006E0104"/>
    <w:rsid w:val="006E1270"/>
    <w:rsid w:val="006F0D27"/>
    <w:rsid w:val="006F7602"/>
    <w:rsid w:val="00722A17"/>
    <w:rsid w:val="00723F4F"/>
    <w:rsid w:val="00754B80"/>
    <w:rsid w:val="007559F1"/>
    <w:rsid w:val="00755AE0"/>
    <w:rsid w:val="0075761B"/>
    <w:rsid w:val="00757B83"/>
    <w:rsid w:val="00774358"/>
    <w:rsid w:val="00791A69"/>
    <w:rsid w:val="0079462A"/>
    <w:rsid w:val="00794830"/>
    <w:rsid w:val="00797CAA"/>
    <w:rsid w:val="007A2B6F"/>
    <w:rsid w:val="007A6BD2"/>
    <w:rsid w:val="007B0D4E"/>
    <w:rsid w:val="007C2658"/>
    <w:rsid w:val="007C3BF4"/>
    <w:rsid w:val="007C769C"/>
    <w:rsid w:val="007D59A2"/>
    <w:rsid w:val="007D7FED"/>
    <w:rsid w:val="007E20D0"/>
    <w:rsid w:val="007E3DAB"/>
    <w:rsid w:val="008053B3"/>
    <w:rsid w:val="00820315"/>
    <w:rsid w:val="00823073"/>
    <w:rsid w:val="0082316D"/>
    <w:rsid w:val="00832921"/>
    <w:rsid w:val="00834472"/>
    <w:rsid w:val="00835442"/>
    <w:rsid w:val="00836A5D"/>
    <w:rsid w:val="008423B1"/>
    <w:rsid w:val="008427F2"/>
    <w:rsid w:val="00843B45"/>
    <w:rsid w:val="0084571C"/>
    <w:rsid w:val="00851380"/>
    <w:rsid w:val="00862A6B"/>
    <w:rsid w:val="00863129"/>
    <w:rsid w:val="008638BD"/>
    <w:rsid w:val="00866830"/>
    <w:rsid w:val="00870ACE"/>
    <w:rsid w:val="00873125"/>
    <w:rsid w:val="008755E5"/>
    <w:rsid w:val="00880A01"/>
    <w:rsid w:val="00881568"/>
    <w:rsid w:val="00881E44"/>
    <w:rsid w:val="00892F6F"/>
    <w:rsid w:val="00896F7E"/>
    <w:rsid w:val="008A070B"/>
    <w:rsid w:val="008C2540"/>
    <w:rsid w:val="008C2A29"/>
    <w:rsid w:val="008C2DB2"/>
    <w:rsid w:val="008D770E"/>
    <w:rsid w:val="008E4C70"/>
    <w:rsid w:val="0090337E"/>
    <w:rsid w:val="009049D8"/>
    <w:rsid w:val="00910609"/>
    <w:rsid w:val="00911504"/>
    <w:rsid w:val="00913511"/>
    <w:rsid w:val="00915841"/>
    <w:rsid w:val="00916907"/>
    <w:rsid w:val="0093084D"/>
    <w:rsid w:val="009328FA"/>
    <w:rsid w:val="00936A78"/>
    <w:rsid w:val="009375E1"/>
    <w:rsid w:val="00952853"/>
    <w:rsid w:val="009646E4"/>
    <w:rsid w:val="00977EC3"/>
    <w:rsid w:val="00983A77"/>
    <w:rsid w:val="0098631D"/>
    <w:rsid w:val="009B17A9"/>
    <w:rsid w:val="009B211F"/>
    <w:rsid w:val="009B7C05"/>
    <w:rsid w:val="009C2378"/>
    <w:rsid w:val="009C4A33"/>
    <w:rsid w:val="009C5A77"/>
    <w:rsid w:val="009C5D99"/>
    <w:rsid w:val="009D016F"/>
    <w:rsid w:val="009E251D"/>
    <w:rsid w:val="009E3577"/>
    <w:rsid w:val="009E5E67"/>
    <w:rsid w:val="009F10A8"/>
    <w:rsid w:val="009F566E"/>
    <w:rsid w:val="009F715C"/>
    <w:rsid w:val="00A02F49"/>
    <w:rsid w:val="00A12EA4"/>
    <w:rsid w:val="00A167A7"/>
    <w:rsid w:val="00A171F4"/>
    <w:rsid w:val="00A1772D"/>
    <w:rsid w:val="00A177B2"/>
    <w:rsid w:val="00A22090"/>
    <w:rsid w:val="00A24EFC"/>
    <w:rsid w:val="00A253DC"/>
    <w:rsid w:val="00A25DBC"/>
    <w:rsid w:val="00A27829"/>
    <w:rsid w:val="00A34E60"/>
    <w:rsid w:val="00A4267E"/>
    <w:rsid w:val="00A43733"/>
    <w:rsid w:val="00A45CE1"/>
    <w:rsid w:val="00A46F1E"/>
    <w:rsid w:val="00A506A6"/>
    <w:rsid w:val="00A66B3F"/>
    <w:rsid w:val="00A67C3D"/>
    <w:rsid w:val="00A82395"/>
    <w:rsid w:val="00A977CE"/>
    <w:rsid w:val="00AA0DF7"/>
    <w:rsid w:val="00AA503F"/>
    <w:rsid w:val="00AB1607"/>
    <w:rsid w:val="00AB52F9"/>
    <w:rsid w:val="00AB54EC"/>
    <w:rsid w:val="00AB77FB"/>
    <w:rsid w:val="00AD131F"/>
    <w:rsid w:val="00AD159A"/>
    <w:rsid w:val="00AD32D5"/>
    <w:rsid w:val="00AD4C53"/>
    <w:rsid w:val="00AD70E4"/>
    <w:rsid w:val="00AD71EF"/>
    <w:rsid w:val="00AF3B3A"/>
    <w:rsid w:val="00AF4E8E"/>
    <w:rsid w:val="00AF6569"/>
    <w:rsid w:val="00B06265"/>
    <w:rsid w:val="00B17EB7"/>
    <w:rsid w:val="00B34B90"/>
    <w:rsid w:val="00B43F2B"/>
    <w:rsid w:val="00B5232A"/>
    <w:rsid w:val="00B55596"/>
    <w:rsid w:val="00B56856"/>
    <w:rsid w:val="00B60ED1"/>
    <w:rsid w:val="00B62CF5"/>
    <w:rsid w:val="00B663E4"/>
    <w:rsid w:val="00B71900"/>
    <w:rsid w:val="00B74C6E"/>
    <w:rsid w:val="00B85705"/>
    <w:rsid w:val="00B874DC"/>
    <w:rsid w:val="00B90F78"/>
    <w:rsid w:val="00B916C6"/>
    <w:rsid w:val="00BA15B3"/>
    <w:rsid w:val="00BA7ED8"/>
    <w:rsid w:val="00BC48ED"/>
    <w:rsid w:val="00BC6A69"/>
    <w:rsid w:val="00BD1058"/>
    <w:rsid w:val="00BD25D1"/>
    <w:rsid w:val="00BD5391"/>
    <w:rsid w:val="00BD764C"/>
    <w:rsid w:val="00BE140F"/>
    <w:rsid w:val="00BF1352"/>
    <w:rsid w:val="00BF56B2"/>
    <w:rsid w:val="00BF5B78"/>
    <w:rsid w:val="00C055AB"/>
    <w:rsid w:val="00C11F95"/>
    <w:rsid w:val="00C136DF"/>
    <w:rsid w:val="00C17501"/>
    <w:rsid w:val="00C35211"/>
    <w:rsid w:val="00C40627"/>
    <w:rsid w:val="00C43EAF"/>
    <w:rsid w:val="00C457C3"/>
    <w:rsid w:val="00C53ED1"/>
    <w:rsid w:val="00C57895"/>
    <w:rsid w:val="00C644CA"/>
    <w:rsid w:val="00C658FC"/>
    <w:rsid w:val="00C665F2"/>
    <w:rsid w:val="00C73005"/>
    <w:rsid w:val="00C84264"/>
    <w:rsid w:val="00C85E18"/>
    <w:rsid w:val="00C95AF1"/>
    <w:rsid w:val="00C96E9F"/>
    <w:rsid w:val="00CA4A09"/>
    <w:rsid w:val="00CC5A63"/>
    <w:rsid w:val="00CC787C"/>
    <w:rsid w:val="00CC7A58"/>
    <w:rsid w:val="00CF36C9"/>
    <w:rsid w:val="00D00EC4"/>
    <w:rsid w:val="00D01CF6"/>
    <w:rsid w:val="00D03BE2"/>
    <w:rsid w:val="00D04719"/>
    <w:rsid w:val="00D06D85"/>
    <w:rsid w:val="00D06D97"/>
    <w:rsid w:val="00D07B29"/>
    <w:rsid w:val="00D166AC"/>
    <w:rsid w:val="00D3060A"/>
    <w:rsid w:val="00D36BA2"/>
    <w:rsid w:val="00D37CF4"/>
    <w:rsid w:val="00D4487C"/>
    <w:rsid w:val="00D63D33"/>
    <w:rsid w:val="00D73352"/>
    <w:rsid w:val="00D915F8"/>
    <w:rsid w:val="00D935C3"/>
    <w:rsid w:val="00DA0266"/>
    <w:rsid w:val="00DA477E"/>
    <w:rsid w:val="00DB238E"/>
    <w:rsid w:val="00DB4BB0"/>
    <w:rsid w:val="00DE461D"/>
    <w:rsid w:val="00E04039"/>
    <w:rsid w:val="00E14608"/>
    <w:rsid w:val="00E15EBE"/>
    <w:rsid w:val="00E21E67"/>
    <w:rsid w:val="00E30EBF"/>
    <w:rsid w:val="00E316C0"/>
    <w:rsid w:val="00E31E03"/>
    <w:rsid w:val="00E51170"/>
    <w:rsid w:val="00E52D70"/>
    <w:rsid w:val="00E55534"/>
    <w:rsid w:val="00E7116D"/>
    <w:rsid w:val="00E72429"/>
    <w:rsid w:val="00E914D1"/>
    <w:rsid w:val="00E94469"/>
    <w:rsid w:val="00E95FCB"/>
    <w:rsid w:val="00E960D8"/>
    <w:rsid w:val="00E97480"/>
    <w:rsid w:val="00EA0DC8"/>
    <w:rsid w:val="00EB0849"/>
    <w:rsid w:val="00EB5FCA"/>
    <w:rsid w:val="00ED1733"/>
    <w:rsid w:val="00ED30F2"/>
    <w:rsid w:val="00EE590C"/>
    <w:rsid w:val="00EF158F"/>
    <w:rsid w:val="00F048D4"/>
    <w:rsid w:val="00F17C37"/>
    <w:rsid w:val="00F202CE"/>
    <w:rsid w:val="00F20920"/>
    <w:rsid w:val="00F23212"/>
    <w:rsid w:val="00F33B16"/>
    <w:rsid w:val="00F353EA"/>
    <w:rsid w:val="00F36C27"/>
    <w:rsid w:val="00F44BEF"/>
    <w:rsid w:val="00F45762"/>
    <w:rsid w:val="00F55EF9"/>
    <w:rsid w:val="00F56318"/>
    <w:rsid w:val="00F67C95"/>
    <w:rsid w:val="00F74540"/>
    <w:rsid w:val="00F75B79"/>
    <w:rsid w:val="00F82525"/>
    <w:rsid w:val="00F912D3"/>
    <w:rsid w:val="00F91AC4"/>
    <w:rsid w:val="00F97FEA"/>
    <w:rsid w:val="00FA1594"/>
    <w:rsid w:val="00FB60E1"/>
    <w:rsid w:val="00FD3768"/>
    <w:rsid w:val="00FD4AC6"/>
    <w:rsid w:val="00FD51E9"/>
    <w:rsid w:val="00FD7AFE"/>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EastAsia" w:hAnsi="Verdan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507670913">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885091908">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279</Words>
  <Characters>1761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2036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Steffens Kirsten</cp:lastModifiedBy>
  <cp:revision>5</cp:revision>
  <cp:lastPrinted>2021-12-15T11:24:00Z</cp:lastPrinted>
  <dcterms:created xsi:type="dcterms:W3CDTF">2022-04-12T07:07:00Z</dcterms:created>
  <dcterms:modified xsi:type="dcterms:W3CDTF">2022-04-12T07:21:00Z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e,10,11</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2022-04-01T12:36:33Z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92655b7e-7360-40b3-b078-97fb62e7815f</vt:lpwstr>
  </property>
  <property fmtid="{D5CDD505-2E9C-101B-9397-08002B2CF9AE}" pid="11" name="MSIP_Label_df1a195f-122b-42dc-a2d3-71a1903dcdac_ContentBits">
    <vt:lpwstr>1</vt:lpwstr>
  </property>
</Properties>
</file>