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D6D38" w14:textId="727813EA" w:rsidR="00250E38" w:rsidRPr="00B954CF" w:rsidRDefault="00A55A24" w:rsidP="00250E38">
      <w:pPr>
        <w:pStyle w:val="Head"/>
        <w:rPr>
          <w:lang w:val="en-US"/>
        </w:rPr>
      </w:pPr>
      <w:r>
        <w:rPr>
          <w:lang w:val="it-IT"/>
        </w:rPr>
        <w:t>Wirtgen Group arriva al bauma China 2026 con sei anteprime di mercato</w:t>
      </w:r>
    </w:p>
    <w:p w14:paraId="1FF3EAF7" w14:textId="6319013D" w:rsidR="00250E38" w:rsidRPr="00B954CF" w:rsidRDefault="00E0416B" w:rsidP="00250E38">
      <w:pPr>
        <w:pStyle w:val="Subhead"/>
        <w:rPr>
          <w:lang w:val="en-US"/>
        </w:rPr>
      </w:pPr>
      <w:r>
        <w:rPr>
          <w:bCs/>
          <w:iCs w:val="0"/>
          <w:lang w:val="it-IT"/>
        </w:rPr>
        <w:t xml:space="preserve">Evento esclusivo per visitatori incentrato sulle soluzioni di riciclaggio </w:t>
      </w:r>
    </w:p>
    <w:p w14:paraId="6B89D59A" w14:textId="55D61441" w:rsidR="00250E38" w:rsidRPr="00B954CF" w:rsidRDefault="003D1410" w:rsidP="001A2C5C">
      <w:pPr>
        <w:pStyle w:val="Teaser"/>
        <w:rPr>
          <w:lang w:val="en-US"/>
        </w:rPr>
      </w:pPr>
      <w:r>
        <w:rPr>
          <w:b w:val="0"/>
          <w:lang w:val="it-IT"/>
        </w:rPr>
        <w:t>Shanghai, 3 settembre 2026 –</w:t>
      </w:r>
      <w:r>
        <w:rPr>
          <w:bCs/>
          <w:lang w:val="it-IT"/>
        </w:rPr>
        <w:t xml:space="preserve"> Con lo slogan “Do more with less”, le anteprime di macchine e le soluzioni di digitalizzazione costituiranno il fulcro della presenza del Wirtgen Group alla fiera, in programma dal 24 al 27 novembre 2026 a Shanghai. Allo stand E1.510.110, nel padiglione E1, gli operatori di settore troveranno inoltre un’offerta speciale: gli interessati potranno iscriversi a un evento esclusivo per visitatori organizzato dal Wirtgen China parallelamente alla fiera nel proprio centro di formazione clienti di Taicang. </w:t>
      </w:r>
    </w:p>
    <w:p w14:paraId="21D466EA" w14:textId="0FFF385A" w:rsidR="00250E38" w:rsidRPr="00B954CF" w:rsidRDefault="00E96A53" w:rsidP="00250E38">
      <w:pPr>
        <w:pStyle w:val="Absatzberschrift"/>
        <w:rPr>
          <w:lang w:val="en-US"/>
        </w:rPr>
      </w:pPr>
      <w:r>
        <w:rPr>
          <w:bCs/>
          <w:lang w:val="it-IT"/>
        </w:rPr>
        <w:t xml:space="preserve">Le anteprime di mercato si concentrano sulla costruzione stradale e sul movimento terra </w:t>
      </w:r>
    </w:p>
    <w:p w14:paraId="3A86BA20" w14:textId="2CCCB04A" w:rsidR="00AD3F31" w:rsidRPr="00B954CF" w:rsidRDefault="00E96A53" w:rsidP="00250E38">
      <w:pPr>
        <w:pStyle w:val="Standardabsatz"/>
        <w:rPr>
          <w:lang w:val="en-US"/>
        </w:rPr>
      </w:pPr>
      <w:r>
        <w:rPr>
          <w:lang w:val="it-IT"/>
        </w:rPr>
        <w:t xml:space="preserve">Un terzo dei prodotti esposti sono anteprime di mercato. Wirtgen presenterà, ad esempio, la W 215 P, una nuova fresa grande con larghezza di fresatura di 2.000 mm e profondità massima di fresatura di 330 mm. Il sistema integrato di controllo della macchina MILL ASSIST garantisce, in modalità automatica, un rapporto qualità/prezzo ottimale. La possibilità di scegliere tra tre diverse strategie operative consente di ottimizzare il processo in termini di costi, prestazioni e qualità. Un’altra anteprima di mercato sarà il Rock Crusher WRC 240i, utilizzato per il ripristino del manto stradale secondo la tecnica “White-to-Black”, una soluzione usuale e ampiamente diffusa nelle città cinesi e sulle autostrade statali. </w:t>
      </w:r>
    </w:p>
    <w:p w14:paraId="2FA5F1B1" w14:textId="09A206C1" w:rsidR="00E62084" w:rsidRPr="00B954CF" w:rsidRDefault="00250E38" w:rsidP="00E62084">
      <w:pPr>
        <w:pStyle w:val="Standardabsatz"/>
        <w:rPr>
          <w:lang w:val="en-US"/>
        </w:rPr>
      </w:pPr>
      <w:r>
        <w:rPr>
          <w:lang w:val="it-IT"/>
        </w:rPr>
        <w:t xml:space="preserve">Vögele porterà per la prima volta sul mercato cinese la finitrice cingolata SUPER 3000-3i e l’alimentatore MT 3000-3 Li. Con una larghezza di stesa fino a 18 m e una capacità di stesa di 1.800 t/h, la SUPER 3000-3i è la nuova ammiraglia tra le finitrici Vögele. Grazie all’innovativo sistema di convogliamento del materiale, nel quale il nastro trasportatore e la coclea distributrice vengono regolati insieme in altezza, la SUPER 3000-3i è ora in grado di posare in opera strati di usura sottili, ma anche strati antigelo spessi fino a 50 cm. La seconda anteprima Vögele è costituita dall’alimentatore MT 3000-3 Li, che rappresenta il perfetto connubio di tecnica affidabile e elevata semplicità di utilizzo. Trasferire il materiale alla finitrice stradale in modo omogeneo e continuato diventa ancora più facile. </w:t>
      </w:r>
    </w:p>
    <w:p w14:paraId="292178CB" w14:textId="6AA1A462" w:rsidR="0004069F" w:rsidRPr="00B954CF" w:rsidRDefault="00A1795C" w:rsidP="00CD7451">
      <w:pPr>
        <w:pStyle w:val="Standardabsatz"/>
        <w:rPr>
          <w:lang w:val="en-US"/>
        </w:rPr>
      </w:pPr>
      <w:r>
        <w:rPr>
          <w:lang w:val="it-IT"/>
        </w:rPr>
        <w:t>Con la serie HD 138 – HD 148 lo specialista della compattazione Hamm presenterà nuovi rulli tandem per il mercato cinese. In entrambe le classi di peso sono disponibili modelli con due tamburi vibranti e modelli con un tamburo vibrante e uno di oscillazione. Tutte le macchine sono dotate del sistema di gestione della macchina elettronico HAMMTRONIC, che offre numerosi vantaggi in termini di potenza del motore, prestazioni di compattazione e comfort. Con la HD 138 VO, Hamm presenterà un modello versatile che, grazie alla combinazione di vibrazione e oscillazione, consente di ottenere un incremento della compattazione particolarmente rapido e non aggressivo per il materiale. Inoltre, specificamente per i clienti del Sud-est asiatico, Hamm presenterà per la prima volta il rullo compattatore HC 200 G da 20 t, che raggiunge una potenza di compattazione fino a 331 kN.</w:t>
      </w:r>
    </w:p>
    <w:p w14:paraId="452DD424" w14:textId="562C2F1F" w:rsidR="0093433F" w:rsidRPr="00B954CF" w:rsidRDefault="00A1795C" w:rsidP="00AD3F31">
      <w:pPr>
        <w:pStyle w:val="Standardabsatz"/>
        <w:rPr>
          <w:bCs/>
          <w:lang w:val="en-US"/>
        </w:rPr>
      </w:pPr>
      <w:r>
        <w:rPr>
          <w:lang w:val="it-IT"/>
        </w:rPr>
        <w:lastRenderedPageBreak/>
        <w:t>Un’ulteriore anteprima sarà il rullo compattatore HC 268i VC. L’abbreviazione “VC” sta per “Variable Crusher”. La macchina sarà presentata allo stand fieristico in combinazione con il Rock Crusher WRC 240i Wirtgen come sistema produttivo per applicazioni di movimento terra e riciclaggio. La peculiarità: il rullo compattatore VC svolge due operazioni distinte su un’unica macchina: rompe e compatta. A tal fine, il rullo compattatore VC è dotato di uno speciale tamburo con 126 portautensili che attraverso un sistema di scambio può essere equipaggiato con denti per fresatura.</w:t>
      </w:r>
    </w:p>
    <w:p w14:paraId="23952BB1" w14:textId="46E387C9" w:rsidR="007B7EE6" w:rsidRPr="00B954CF" w:rsidRDefault="007B7EE6" w:rsidP="007B7EE6">
      <w:pPr>
        <w:pStyle w:val="Absatzberschrift"/>
        <w:rPr>
          <w:lang w:val="en-US"/>
        </w:rPr>
      </w:pPr>
      <w:r>
        <w:rPr>
          <w:bCs/>
          <w:lang w:val="it-IT"/>
        </w:rPr>
        <w:t>La digitalizzazione al centro della Tech Zone</w:t>
      </w:r>
    </w:p>
    <w:p w14:paraId="2683778F" w14:textId="29ADED4A" w:rsidR="00485E8A" w:rsidRPr="00B954CF" w:rsidRDefault="00A311A1" w:rsidP="00485E8A">
      <w:pPr>
        <w:pStyle w:val="Standardabsatz"/>
        <w:rPr>
          <w:lang w:val="en-US"/>
        </w:rPr>
      </w:pPr>
      <w:r>
        <w:rPr>
          <w:lang w:val="it-IT"/>
        </w:rPr>
        <w:t xml:space="preserve">Un altro tema centrale dello stand fieristico sarà la Tech Zone. Qui i visitatori potranno conoscere più da vicino le soluzioni digitali di Wirtgen, Vögele, Hamm e Kleemann nonché le tecnologie applicative per la lavorazione dei materiali. Con WGInsight, il gruppo aziendale presenterà inoltre una piattaforma digitale appositamente sviluppata per il mercato cinese e destinata alla gestione remota delle macchine, comprensiva di monitoraggio in tempo reale integrato, gestione della sicurezza e coordinamento degli interventi di manutenzione. Con il recente aggiornamento a WGInsight 2.0, la piattaforma offre nuove funzioni, tra cui registri delle attività, report sull’utilizzo, gestione dei costi di manutenzione e analisi multidimensionali dei dati. Gli utenti possono così tenere sotto controllo ancor meglio la gestione delle macchine e i costi operativi, ottimizzandoli costantemente. La soluzione sarà mostrata allo stand attraverso esempi pratici. </w:t>
      </w:r>
    </w:p>
    <w:p w14:paraId="0F2D4F87" w14:textId="4372480E" w:rsidR="00DD7AE2" w:rsidRPr="00B954CF" w:rsidRDefault="000D6ED4" w:rsidP="00DD7AE2">
      <w:pPr>
        <w:pStyle w:val="Absatzberschrift"/>
        <w:rPr>
          <w:lang w:val="en-US"/>
        </w:rPr>
      </w:pPr>
      <w:r>
        <w:rPr>
          <w:bCs/>
          <w:lang w:val="it-IT"/>
        </w:rPr>
        <w:t xml:space="preserve">Anteprima: evento esclusivo per visitatori incentrato sulle soluzioni di riciclaggio </w:t>
      </w:r>
    </w:p>
    <w:p w14:paraId="177189F6" w14:textId="6AFC7282" w:rsidR="007B7EE6" w:rsidRPr="00B954CF" w:rsidRDefault="008A6617" w:rsidP="00250E38">
      <w:pPr>
        <w:pStyle w:val="Standardabsatz"/>
        <w:rPr>
          <w:lang w:val="it-IT"/>
        </w:rPr>
      </w:pPr>
      <w:r>
        <w:rPr>
          <w:lang w:val="it-IT"/>
        </w:rPr>
        <w:t xml:space="preserve">Un altro momento clou sarà costituito dall’evento sul riciclaggio organizzato dal Wirtgen Group filiale Wirtgen China presso il centro regionale della Cina orientale di Taicang. I visitatori potranno iscriversi all’evento direttamente allo stand del gruppo. Il programma prevede una presentazione completa delle macchine per il riciclaggio Wirtgen, tra cui l’anteprima di mercato dell’impianto di confezionamento </w:t>
      </w:r>
      <w:r>
        <w:rPr>
          <w:b/>
          <w:bCs/>
          <w:lang w:val="it-IT"/>
        </w:rPr>
        <w:t>Ciber</w:t>
      </w:r>
      <w:r>
        <w:rPr>
          <w:lang w:val="it-IT"/>
        </w:rPr>
        <w:t xml:space="preserve"> iNova 2000. Il programma comprenderà inoltre presentazioni tecnologiche e conferenze specialistiche dedicate alle numerose applicazioni del riciclaggio. Gli esperti del Wirtgen Group saranno a disposizione dei visitatori per un dialogo diretto, rispondere alle domande e presentare le macchine in piccoli gruppi.</w:t>
      </w:r>
    </w:p>
    <w:p w14:paraId="71C1CFC6" w14:textId="15FF58FB" w:rsidR="00A8500E" w:rsidRPr="00B954CF" w:rsidRDefault="00A8500E" w:rsidP="00A8500E">
      <w:pPr>
        <w:pStyle w:val="Standardabsatz"/>
        <w:rPr>
          <w:lang w:val="en-US"/>
        </w:rPr>
      </w:pPr>
      <w:r>
        <w:rPr>
          <w:lang w:val="it-IT"/>
        </w:rPr>
        <w:t xml:space="preserve">Ulteriori informazioni sono disponibili sul sito web dedicato del Wirtgen Group sul bauma China: </w:t>
      </w:r>
      <w:hyperlink r:id="rId8" w:history="1">
        <w:r>
          <w:rPr>
            <w:rStyle w:val="Hyperlink"/>
            <w:lang w:val="it-IT"/>
          </w:rPr>
          <w:t>www.wirtgen-group.com/bauma-china</w:t>
        </w:r>
      </w:hyperlink>
      <w:r>
        <w:rPr>
          <w:rStyle w:val="Hyperlink"/>
          <w:lang w:val="it-IT"/>
        </w:rPr>
        <w:t>.</w:t>
      </w:r>
      <w:r>
        <w:rPr>
          <w:lang w:val="it-IT"/>
        </w:rPr>
        <w:t xml:space="preserve"> </w:t>
      </w:r>
    </w:p>
    <w:p w14:paraId="40F0524A" w14:textId="77777777" w:rsidR="00B954CF" w:rsidRDefault="00B954CF">
      <w:pPr>
        <w:rPr>
          <w:rFonts w:eastAsiaTheme="minorHAnsi" w:cstheme="minorBidi"/>
          <w:b/>
          <w:bCs/>
          <w:sz w:val="22"/>
          <w:szCs w:val="24"/>
          <w:lang w:val="it-IT"/>
        </w:rPr>
      </w:pPr>
      <w:r>
        <w:rPr>
          <w:bCs/>
          <w:lang w:val="it-IT"/>
        </w:rPr>
        <w:br w:type="page"/>
      </w:r>
    </w:p>
    <w:p w14:paraId="31412CCB" w14:textId="4FE28AB6" w:rsidR="00E15EBE" w:rsidRPr="00B954CF" w:rsidRDefault="00E15EBE" w:rsidP="00E15EBE">
      <w:pPr>
        <w:pStyle w:val="Fotos"/>
        <w:rPr>
          <w:lang w:val="en-US"/>
        </w:rPr>
      </w:pPr>
      <w:r>
        <w:rPr>
          <w:bCs/>
          <w:lang w:val="it-IT"/>
        </w:rPr>
        <w:lastRenderedPageBreak/>
        <w:t>Foto:</w:t>
      </w:r>
    </w:p>
    <w:p w14:paraId="20879CE4" w14:textId="533E9026" w:rsidR="002611FE" w:rsidRPr="00B954CF" w:rsidRDefault="00552CAD" w:rsidP="002611FE">
      <w:pPr>
        <w:pStyle w:val="BUbold"/>
        <w:rPr>
          <w:lang w:val="en-US"/>
        </w:rPr>
      </w:pPr>
      <w:r>
        <w:rPr>
          <w:b w:val="0"/>
          <w:noProof/>
          <w:lang w:val="it-IT"/>
        </w:rPr>
        <w:drawing>
          <wp:inline distT="0" distB="0" distL="0" distR="0" wp14:anchorId="207E919C" wp14:editId="31DBE307">
            <wp:extent cx="3240000" cy="1821543"/>
            <wp:effectExtent l="0" t="0" r="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240000" cy="1821543"/>
                    </a:xfrm>
                    <a:prstGeom prst="rect">
                      <a:avLst/>
                    </a:prstGeom>
                    <a:noFill/>
                    <a:ln>
                      <a:noFill/>
                    </a:ln>
                  </pic:spPr>
                </pic:pic>
              </a:graphicData>
            </a:graphic>
          </wp:inline>
        </w:drawing>
      </w:r>
      <w:r>
        <w:rPr>
          <w:b w:val="0"/>
          <w:lang w:val="it-IT"/>
        </w:rPr>
        <w:br/>
      </w:r>
      <w:r>
        <w:rPr>
          <w:bCs/>
          <w:lang w:val="it-IT"/>
        </w:rPr>
        <w:t>26-08-11-KV-baumaChina2026_EN</w:t>
      </w:r>
    </w:p>
    <w:p w14:paraId="1F8A7162" w14:textId="3FBB9D8C" w:rsidR="006C0C87" w:rsidRPr="00B954CF" w:rsidRDefault="00250E38" w:rsidP="00C84D75">
      <w:pPr>
        <w:pStyle w:val="BUnormal"/>
        <w:rPr>
          <w:lang w:val="en-US"/>
        </w:rPr>
      </w:pPr>
      <w:r>
        <w:rPr>
          <w:lang w:val="it-IT"/>
        </w:rPr>
        <w:t xml:space="preserve">Al bauma China 2026, i visitatori potranno scoprire ben sei anteprime di mercato del Wirtgen Group. </w:t>
      </w:r>
    </w:p>
    <w:p w14:paraId="3C28BF5B" w14:textId="43A5BDBD" w:rsidR="00206A14" w:rsidRPr="00B954CF" w:rsidRDefault="000C247F" w:rsidP="00206A14">
      <w:pPr>
        <w:pStyle w:val="BUbold"/>
        <w:rPr>
          <w:lang w:val="en-US"/>
        </w:rPr>
      </w:pPr>
      <w:r>
        <w:rPr>
          <w:b w:val="0"/>
          <w:noProof/>
          <w:lang w:val="it-IT"/>
        </w:rPr>
        <w:drawing>
          <wp:inline distT="0" distB="0" distL="0" distR="0" wp14:anchorId="486CDDF7" wp14:editId="138C3290">
            <wp:extent cx="2880000" cy="2225868"/>
            <wp:effectExtent l="0" t="0" r="0" b="3175"/>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880000" cy="2225868"/>
                    </a:xfrm>
                    <a:prstGeom prst="rect">
                      <a:avLst/>
                    </a:prstGeom>
                    <a:noFill/>
                    <a:ln>
                      <a:noFill/>
                    </a:ln>
                  </pic:spPr>
                </pic:pic>
              </a:graphicData>
            </a:graphic>
          </wp:inline>
        </w:drawing>
      </w:r>
      <w:r>
        <w:rPr>
          <w:b w:val="0"/>
          <w:lang w:val="it-IT"/>
        </w:rPr>
        <w:br/>
      </w:r>
      <w:r>
        <w:rPr>
          <w:bCs/>
          <w:lang w:val="it-IT"/>
        </w:rPr>
        <w:t>W_pic_composing_Jobsite_W215P_0001_HI</w:t>
      </w:r>
    </w:p>
    <w:p w14:paraId="0241D1F7" w14:textId="3FD2A683" w:rsidR="00206A14" w:rsidRPr="00B954CF" w:rsidRDefault="000C247F" w:rsidP="00206A14">
      <w:pPr>
        <w:pStyle w:val="BUnormal"/>
        <w:rPr>
          <w:lang w:val="en-US"/>
        </w:rPr>
      </w:pPr>
      <w:r>
        <w:rPr>
          <w:lang w:val="it-IT"/>
        </w:rPr>
        <w:t>Wirtgen presenterà la W 215 P, una nuova fresa grande con larghezza di fresatura di 2.000 mm e profondità massima di fresatura di 330 mm.</w:t>
      </w:r>
    </w:p>
    <w:p w14:paraId="325E8E9E" w14:textId="7939AE02" w:rsidR="00206A14" w:rsidRPr="00B954CF" w:rsidRDefault="00FB7C0F" w:rsidP="00206A14">
      <w:pPr>
        <w:pStyle w:val="BUbold"/>
        <w:rPr>
          <w:lang w:val="en-US"/>
        </w:rPr>
      </w:pPr>
      <w:r>
        <w:rPr>
          <w:b w:val="0"/>
          <w:noProof/>
          <w:lang w:val="it-IT"/>
        </w:rPr>
        <w:drawing>
          <wp:inline distT="0" distB="0" distL="0" distR="0" wp14:anchorId="0AE4D3DA" wp14:editId="3103A5E6">
            <wp:extent cx="2540000" cy="1905000"/>
            <wp:effectExtent l="0" t="0" r="0" b="0"/>
            <wp:docPr id="171281862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43868" cy="1907901"/>
                    </a:xfrm>
                    <a:prstGeom prst="rect">
                      <a:avLst/>
                    </a:prstGeom>
                    <a:noFill/>
                    <a:ln>
                      <a:noFill/>
                    </a:ln>
                  </pic:spPr>
                </pic:pic>
              </a:graphicData>
            </a:graphic>
          </wp:inline>
        </w:drawing>
      </w:r>
      <w:r>
        <w:rPr>
          <w:b w:val="0"/>
          <w:lang w:val="it-IT"/>
        </w:rPr>
        <w:br/>
      </w:r>
      <w:r>
        <w:rPr>
          <w:bCs/>
          <w:lang w:val="it-IT"/>
        </w:rPr>
        <w:t>JV_photo_Voegele_Highlights_Bauma_China_2026_001_PR</w:t>
      </w:r>
    </w:p>
    <w:p w14:paraId="6527599D" w14:textId="551A39E8" w:rsidR="000C247F" w:rsidRPr="00B954CF" w:rsidRDefault="000C247F" w:rsidP="000C247F">
      <w:pPr>
        <w:pStyle w:val="BUnormal"/>
        <w:rPr>
          <w:lang w:val="en-US"/>
        </w:rPr>
      </w:pPr>
      <w:r>
        <w:rPr>
          <w:lang w:val="it-IT"/>
        </w:rPr>
        <w:t>Le due anteprime dell’alimentatore MT 3000-3 Li e della finitrice grande SUPER 3000-3i lavorano in perfetta armonia tra loro nei cantieri, presto anche in Cina.</w:t>
      </w:r>
    </w:p>
    <w:p w14:paraId="7865BB6E" w14:textId="7E6433E2" w:rsidR="00206A14" w:rsidRPr="00B954CF" w:rsidRDefault="000C247F" w:rsidP="00F718C8">
      <w:pPr>
        <w:pStyle w:val="BUnormal"/>
        <w:spacing w:after="0"/>
        <w:rPr>
          <w:lang w:val="en-US"/>
        </w:rPr>
      </w:pPr>
      <w:r>
        <w:rPr>
          <w:noProof/>
          <w:lang w:val="it-IT"/>
        </w:rPr>
        <w:lastRenderedPageBreak/>
        <w:drawing>
          <wp:inline distT="0" distB="0" distL="0" distR="0" wp14:anchorId="4F5EC16C" wp14:editId="2ED4E227">
            <wp:extent cx="2880000" cy="21600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880000" cy="2160000"/>
                    </a:xfrm>
                    <a:prstGeom prst="rect">
                      <a:avLst/>
                    </a:prstGeom>
                    <a:noFill/>
                    <a:ln>
                      <a:noFill/>
                    </a:ln>
                  </pic:spPr>
                </pic:pic>
              </a:graphicData>
            </a:graphic>
          </wp:inline>
        </w:drawing>
      </w:r>
      <w:r>
        <w:rPr>
          <w:lang w:val="it-IT"/>
        </w:rPr>
        <w:br/>
      </w:r>
      <w:r>
        <w:rPr>
          <w:b/>
          <w:bCs/>
          <w:color w:val="auto"/>
          <w:szCs w:val="24"/>
          <w:lang w:val="it-IT"/>
        </w:rPr>
        <w:t>WeChat Image_20230823161212</w:t>
      </w:r>
    </w:p>
    <w:p w14:paraId="71D45A87" w14:textId="1EF8B449" w:rsidR="00206A14" w:rsidRPr="00B954CF" w:rsidRDefault="000C247F" w:rsidP="00206A14">
      <w:pPr>
        <w:pStyle w:val="BUnormal"/>
        <w:rPr>
          <w:lang w:val="en-US"/>
        </w:rPr>
      </w:pPr>
      <w:r>
        <w:rPr>
          <w:lang w:val="it-IT"/>
        </w:rPr>
        <w:t xml:space="preserve">Il rullo tandem HD 138 VO Hamm con tamburo vibrante e di oscillazione, grazie al suo giunto articolato a pendolo in 3 punti, offre una distribuzione del peso uniforme e la migliore marcia in rettilineo. </w:t>
      </w:r>
    </w:p>
    <w:p w14:paraId="7667B0CD" w14:textId="77777777" w:rsidR="0093786A" w:rsidRPr="00B954CF" w:rsidRDefault="0093786A" w:rsidP="0093786A">
      <w:pPr>
        <w:pStyle w:val="Note"/>
        <w:spacing w:before="0" w:after="0"/>
        <w:rPr>
          <w:i w:val="0"/>
          <w:iCs/>
          <w:lang w:val="en-US"/>
        </w:rPr>
      </w:pPr>
    </w:p>
    <w:p w14:paraId="04824B2F" w14:textId="1D2C88F5" w:rsidR="00F74540" w:rsidRPr="00B954CF" w:rsidRDefault="00E15EBE" w:rsidP="006C0C87">
      <w:pPr>
        <w:pStyle w:val="Note"/>
        <w:rPr>
          <w:lang w:val="en-US"/>
        </w:rPr>
      </w:pPr>
      <w:r>
        <w:rPr>
          <w:iCs/>
          <w:lang w:val="it-IT"/>
        </w:rPr>
        <w:t>Avvertenza: queste foto sono a puro scopo esemplificativo. Per la stampa su pubblicazioni, si prega di utilizzare le foto con risoluzione 300</w:t>
      </w:r>
      <w:r>
        <w:rPr>
          <w:i w:val="0"/>
          <w:lang w:val="it-IT"/>
        </w:rPr>
        <w:t> </w:t>
      </w:r>
      <w:r>
        <w:rPr>
          <w:iCs/>
          <w:lang w:val="it-IT"/>
        </w:rPr>
        <w:t>dpi, disponibili per il download sulle pagine web del Wirtgen Group.</w:t>
      </w:r>
    </w:p>
    <w:p w14:paraId="55931FB8" w14:textId="77777777" w:rsidR="00E15EBE" w:rsidRPr="00B954CF" w:rsidRDefault="00E15EBE" w:rsidP="00E15EBE">
      <w:pPr>
        <w:pStyle w:val="Absatzberschrift"/>
        <w:rPr>
          <w:iCs/>
          <w:lang w:val="en-US"/>
        </w:rPr>
      </w:pPr>
      <w:r>
        <w:rPr>
          <w:bCs/>
          <w:lang w:val="it-IT"/>
        </w:rPr>
        <w:t>È possibile reperire ulteriori informazioni presso:</w:t>
      </w:r>
    </w:p>
    <w:p w14:paraId="0834BAC7" w14:textId="77777777" w:rsidR="00E15EBE" w:rsidRPr="00B954CF" w:rsidRDefault="00E15EBE" w:rsidP="00E15EBE">
      <w:pPr>
        <w:pStyle w:val="Absatzberschrift"/>
        <w:rPr>
          <w:lang w:val="en-US"/>
        </w:rPr>
      </w:pPr>
    </w:p>
    <w:p w14:paraId="69EE0B1B" w14:textId="77777777" w:rsidR="00E15EBE" w:rsidRPr="00F109F5" w:rsidRDefault="00E15EBE" w:rsidP="00E15EBE">
      <w:pPr>
        <w:pStyle w:val="Absatzberschrift"/>
        <w:rPr>
          <w:b w:val="0"/>
          <w:bCs/>
          <w:szCs w:val="22"/>
        </w:rPr>
      </w:pPr>
      <w:r>
        <w:rPr>
          <w:b w:val="0"/>
          <w:lang w:val="it-IT"/>
        </w:rPr>
        <w:t>WIRTGEN GROUP</w:t>
      </w:r>
    </w:p>
    <w:p w14:paraId="6C2CE818" w14:textId="77777777" w:rsidR="00E15EBE" w:rsidRPr="00F109F5" w:rsidRDefault="00E15EBE" w:rsidP="00E15EBE">
      <w:pPr>
        <w:pStyle w:val="Fuzeile1"/>
      </w:pPr>
      <w:r>
        <w:rPr>
          <w:bCs w:val="0"/>
          <w:iCs w:val="0"/>
          <w:lang w:val="it-IT"/>
        </w:rPr>
        <w:t>Public Relations</w:t>
      </w:r>
    </w:p>
    <w:p w14:paraId="11D0C008" w14:textId="77777777" w:rsidR="00E15EBE" w:rsidRPr="00F109F5" w:rsidRDefault="00E15EBE" w:rsidP="00E15EBE">
      <w:pPr>
        <w:pStyle w:val="Fuzeile1"/>
      </w:pPr>
      <w:r>
        <w:rPr>
          <w:bCs w:val="0"/>
          <w:iCs w:val="0"/>
          <w:lang w:val="it-IT"/>
        </w:rPr>
        <w:t>Reinhard-Wirtgen-Straße 2</w:t>
      </w:r>
    </w:p>
    <w:p w14:paraId="1063A82F" w14:textId="77777777" w:rsidR="00E15EBE" w:rsidRPr="00F109F5" w:rsidRDefault="00E15EBE" w:rsidP="00E15EBE">
      <w:pPr>
        <w:pStyle w:val="Fuzeile1"/>
      </w:pPr>
      <w:r>
        <w:rPr>
          <w:bCs w:val="0"/>
          <w:iCs w:val="0"/>
          <w:lang w:val="it-IT"/>
        </w:rPr>
        <w:t>53578 Windhagen</w:t>
      </w:r>
    </w:p>
    <w:p w14:paraId="5A37CC2B" w14:textId="77777777" w:rsidR="00E15EBE" w:rsidRPr="00F109F5" w:rsidRDefault="00E15EBE" w:rsidP="00E15EBE">
      <w:pPr>
        <w:pStyle w:val="Fuzeile1"/>
      </w:pPr>
      <w:r>
        <w:rPr>
          <w:bCs w:val="0"/>
          <w:iCs w:val="0"/>
          <w:lang w:val="it-IT"/>
        </w:rPr>
        <w:t>Germania</w:t>
      </w:r>
    </w:p>
    <w:p w14:paraId="29A07732" w14:textId="77777777" w:rsidR="00E15EBE" w:rsidRPr="00F109F5" w:rsidRDefault="00E15EBE" w:rsidP="00E15EBE">
      <w:pPr>
        <w:pStyle w:val="Fuzeile1"/>
      </w:pPr>
    </w:p>
    <w:p w14:paraId="0C099062" w14:textId="19EB6368" w:rsidR="00E15EBE" w:rsidRPr="00F109F5" w:rsidRDefault="00E15EBE" w:rsidP="00E15EBE">
      <w:pPr>
        <w:pStyle w:val="Fuzeile1"/>
        <w:rPr>
          <w:rFonts w:ascii="Times New Roman" w:hAnsi="Times New Roman" w:cs="Times New Roman"/>
        </w:rPr>
      </w:pPr>
      <w:r>
        <w:rPr>
          <w:bCs w:val="0"/>
          <w:iCs w:val="0"/>
          <w:lang w:val="it-IT"/>
        </w:rPr>
        <w:t xml:space="preserve">Telefono: </w:t>
      </w:r>
      <w:r w:rsidR="00B954CF">
        <w:rPr>
          <w:bCs w:val="0"/>
          <w:iCs w:val="0"/>
          <w:lang w:val="it-IT"/>
        </w:rPr>
        <w:tab/>
      </w:r>
      <w:r>
        <w:rPr>
          <w:bCs w:val="0"/>
          <w:iCs w:val="0"/>
          <w:lang w:val="it-IT"/>
        </w:rPr>
        <w:t>+49 (0) 2645 131 – 1966</w:t>
      </w:r>
    </w:p>
    <w:p w14:paraId="65F4C38F" w14:textId="5E91C97B" w:rsidR="00E15EBE" w:rsidRPr="00F109F5" w:rsidRDefault="00E15EBE" w:rsidP="00E15EBE">
      <w:pPr>
        <w:pStyle w:val="Fuzeile1"/>
      </w:pPr>
      <w:r>
        <w:rPr>
          <w:bCs w:val="0"/>
          <w:iCs w:val="0"/>
          <w:lang w:val="it-IT"/>
        </w:rPr>
        <w:t xml:space="preserve">Telefax: </w:t>
      </w:r>
      <w:r w:rsidR="00B954CF">
        <w:rPr>
          <w:bCs w:val="0"/>
          <w:iCs w:val="0"/>
          <w:lang w:val="it-IT"/>
        </w:rPr>
        <w:tab/>
      </w:r>
      <w:r>
        <w:rPr>
          <w:bCs w:val="0"/>
          <w:iCs w:val="0"/>
          <w:lang w:val="it-IT"/>
        </w:rPr>
        <w:t>+49 (0) 2645 131 – 499</w:t>
      </w:r>
    </w:p>
    <w:p w14:paraId="79FF3B7C" w14:textId="27B8DA8D" w:rsidR="00E15EBE" w:rsidRPr="00F109F5" w:rsidRDefault="00E15EBE" w:rsidP="00E15EBE">
      <w:pPr>
        <w:pStyle w:val="Fuzeile1"/>
      </w:pPr>
      <w:r>
        <w:rPr>
          <w:bCs w:val="0"/>
          <w:iCs w:val="0"/>
          <w:lang w:val="it-IT"/>
        </w:rPr>
        <w:t xml:space="preserve">E-mail: </w:t>
      </w:r>
      <w:r w:rsidR="00B954CF">
        <w:rPr>
          <w:bCs w:val="0"/>
          <w:iCs w:val="0"/>
          <w:lang w:val="it-IT"/>
        </w:rPr>
        <w:tab/>
      </w:r>
      <w:hyperlink r:id="rId13" w:history="1">
        <w:r w:rsidR="00B954CF" w:rsidRPr="00FF1D32">
          <w:rPr>
            <w:rStyle w:val="Hyperlink"/>
            <w:rFonts w:cs="Times New Roman (Textkörper CS)"/>
            <w:bCs w:val="0"/>
            <w:iCs w:val="0"/>
            <w:lang w:val="it-IT"/>
          </w:rPr>
          <w:t>PR@wirtgen-group.com</w:t>
        </w:r>
      </w:hyperlink>
    </w:p>
    <w:p w14:paraId="4F99EB86" w14:textId="77777777" w:rsidR="00E15EBE" w:rsidRPr="00F109F5" w:rsidRDefault="00E15EBE" w:rsidP="00E15EBE">
      <w:pPr>
        <w:pStyle w:val="Fuzeile1"/>
        <w:rPr>
          <w:vanish/>
        </w:rPr>
      </w:pPr>
    </w:p>
    <w:p w14:paraId="3D604A55" w14:textId="5BB8C1A2" w:rsidR="00F048D4" w:rsidRPr="00F109F5" w:rsidRDefault="00B5101D" w:rsidP="00F74540">
      <w:pPr>
        <w:pStyle w:val="Fuzeile1"/>
      </w:pPr>
      <w:hyperlink r:id="rId14" w:history="1">
        <w:r>
          <w:rPr>
            <w:rStyle w:val="Hyperlink"/>
            <w:bCs w:val="0"/>
            <w:iCs w:val="0"/>
            <w:lang w:val="it-IT"/>
          </w:rPr>
          <w:t>www.wirtgen-group.com</w:t>
        </w:r>
      </w:hyperlink>
    </w:p>
    <w:p w14:paraId="669A80D7" w14:textId="77777777" w:rsidR="00B5101D" w:rsidRPr="00F109F5" w:rsidRDefault="00B5101D" w:rsidP="00F74540">
      <w:pPr>
        <w:pStyle w:val="Fuzeile1"/>
      </w:pPr>
    </w:p>
    <w:sectPr w:rsidR="00B5101D" w:rsidRPr="00F109F5" w:rsidSect="005A2646">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4F84" w14:textId="77777777" w:rsidR="003F1017" w:rsidRDefault="003F1017" w:rsidP="00E55534">
      <w:r>
        <w:separator/>
      </w:r>
    </w:p>
  </w:endnote>
  <w:endnote w:type="continuationSeparator" w:id="0">
    <w:p w14:paraId="4ED738AE" w14:textId="77777777" w:rsidR="003F1017" w:rsidRDefault="003F1017"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Textkörper C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 w:val="0"/>
              <w:iCs w:val="0"/>
              <w:szCs w:val="20"/>
              <w:lang w:val="it-IT"/>
            </w:rPr>
            <w:t>WIRTGEN</w:t>
          </w:r>
          <w:r>
            <w:rPr>
              <w:rStyle w:val="Hervorhebung"/>
              <w:bCs/>
              <w:iCs w:val="0"/>
              <w:szCs w:val="20"/>
              <w:lang w:val="it-IT"/>
            </w:rPr>
            <w:t xml:space="preserve"> GmbH</w:t>
          </w:r>
          <w:r>
            <w:rPr>
              <w:szCs w:val="20"/>
              <w:lang w:val="it-IT"/>
            </w:rPr>
            <w:t xml:space="preserve"> · Reinhard-Wirtgen-Str. 2 · D-53578 Windhagen · T: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6568" w14:textId="77777777" w:rsidR="003F1017" w:rsidRDefault="003F1017" w:rsidP="00E55534">
      <w:r>
        <w:separator/>
      </w:r>
    </w:p>
  </w:footnote>
  <w:footnote w:type="continuationSeparator" w:id="0">
    <w:p w14:paraId="7462F5A7" w14:textId="77777777" w:rsidR="003F1017" w:rsidRDefault="003F1017"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1DBB" w14:textId="295224A4" w:rsidR="005101B4" w:rsidRDefault="00A0216C">
    <w:pPr>
      <w:pStyle w:val="Kopfzeile"/>
    </w:pPr>
    <w:r>
      <w:rPr>
        <w:noProof/>
        <w:lang w:val="it-IT"/>
      </w:rPr>
      <mc:AlternateContent>
        <mc:Choice Requires="wps">
          <w:drawing>
            <wp:anchor distT="0" distB="0" distL="0" distR="0" simplePos="0" relativeHeight="251662336" behindDoc="0" locked="0" layoutInCell="1" allowOverlap="1" wp14:anchorId="4F546625" wp14:editId="652CE4CE">
              <wp:simplePos x="635" y="635"/>
              <wp:positionH relativeFrom="rightMargin">
                <wp:align>right</wp:align>
              </wp:positionH>
              <wp:positionV relativeFrom="paragraph">
                <wp:posOffset>635</wp:posOffset>
              </wp:positionV>
              <wp:extent cx="443865" cy="443865"/>
              <wp:effectExtent l="0" t="0" r="0" b="16510"/>
              <wp:wrapSquare wrapText="bothSides"/>
              <wp:docPr id="8" name="Textfeld 8"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7098AF" w14:textId="669E50F5"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F546625" id="_x0000_t202" coordsize="21600,21600" o:spt="202" path="m,l,21600r21600,l21600,xe">
              <v:stroke joinstyle="miter"/>
              <v:path gradientshapeok="t" o:connecttype="rect"/>
            </v:shapetype>
            <v:shape id="Textfeld 8" o:spid="_x0000_s1026"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5C7098AF" w14:textId="669E50F5"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EA1B2" w14:textId="2D2FBDDE" w:rsidR="00533132" w:rsidRPr="00533132" w:rsidRDefault="00A0216C" w:rsidP="00533132">
    <w:pPr>
      <w:pStyle w:val="Kopfzeile"/>
    </w:pPr>
    <w:r>
      <w:rPr>
        <w:noProof/>
        <w:lang w:val="it-IT"/>
      </w:rPr>
      <mc:AlternateContent>
        <mc:Choice Requires="wps">
          <w:drawing>
            <wp:anchor distT="0" distB="0" distL="0" distR="0" simplePos="0" relativeHeight="251663360" behindDoc="0" locked="0" layoutInCell="1" allowOverlap="1" wp14:anchorId="1B93B86E" wp14:editId="41446927">
              <wp:simplePos x="755374" y="453224"/>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91D52FF" w14:textId="44B498EB" w:rsidR="00A0216C" w:rsidRPr="00A0216C" w:rsidRDefault="003D1410">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B93B86E" id="_x0000_t202" coordsize="21600,21600" o:spt="202" path="m,l,21600r21600,l21600,xe">
              <v:stroke joinstyle="miter"/>
              <v:path gradientshapeok="t" o:connecttype="rect"/>
            </v:shapetype>
            <v:shape id="Textfeld 10" o:spid="_x0000_s1027" type="#_x0000_t202" alt="Company Use" style="position:absolute;margin-left:-16.25pt;margin-top:.05pt;width:34.95pt;height:34.95pt;z-index:251663360;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" filled="f" stroked="f">
              <v:textbox style="mso-fit-shape-to-text:t" inset="0,0,15pt,0">
                <w:txbxContent>
                  <w:p w14:paraId="491D52FF" w14:textId="44B498EB" w:rsidR="00A0216C" w:rsidRPr="00A0216C" w:rsidRDefault="003D1410">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Public</w:t>
                    </w:r>
                  </w:p>
                </w:txbxContent>
              </v:textbox>
              <w10:wrap type="square" anchorx="margin"/>
            </v:shape>
          </w:pict>
        </mc:Fallback>
      </mc:AlternateContent>
    </w:r>
    <w:r>
      <w:rPr>
        <w:noProof/>
        <w:lang w:val="it-IT"/>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lo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6189F" w14:textId="3551C559" w:rsidR="00533132" w:rsidRDefault="00A0216C">
    <w:pPr>
      <w:pStyle w:val="Kopfzeile"/>
    </w:pPr>
    <w:r>
      <w:rPr>
        <w:noProof/>
        <w:lang w:val="it-IT"/>
      </w:rPr>
      <mc:AlternateContent>
        <mc:Choice Requires="wps">
          <w:drawing>
            <wp:anchor distT="0" distB="0" distL="0" distR="0" simplePos="0" relativeHeight="251661312" behindDoc="0" locked="0" layoutInCell="1" allowOverlap="1" wp14:anchorId="1D0CB82F" wp14:editId="1AE6EE1D">
              <wp:simplePos x="635" y="635"/>
              <wp:positionH relativeFrom="rightMargin">
                <wp:align>right</wp:align>
              </wp:positionH>
              <wp:positionV relativeFrom="paragraph">
                <wp:posOffset>635</wp:posOffset>
              </wp:positionV>
              <wp:extent cx="443865" cy="443865"/>
              <wp:effectExtent l="0" t="0" r="0" b="16510"/>
              <wp:wrapSquare wrapText="bothSides"/>
              <wp:docPr id="7" name="Textfeld 7"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48118A" w14:textId="19D5C921" w:rsidR="00A0216C" w:rsidRPr="00A0216C" w:rsidRDefault="00A0216C">
                          <w:pPr>
                            <w:rPr>
                              <w:rFonts w:ascii="Calibri" w:eastAsia="Calibri" w:hAnsi="Calibri" w:cs="Calibri"/>
                              <w:noProof/>
                              <w:color w:val="FF0000"/>
                              <w:sz w:val="20"/>
                              <w:szCs w:val="20"/>
                            </w:rPr>
                          </w:pPr>
                          <w:r>
                            <w:rPr>
                              <w:rFonts w:ascii="Calibri" w:eastAsia="Calibri" w:hAnsi="Calibri" w:cs="Calibri"/>
                              <w:noProof/>
                              <w:color w:val="FF0000"/>
                              <w:sz w:val="20"/>
                              <w:szCs w:val="20"/>
                              <w:lang w:val="it-IT"/>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1D0CB82F" id="_x0000_t202" coordsize="21600,21600" o:spt="202" path="m,l,21600r21600,l21600,xe">
              <v:stroke joinstyle="miter"/>
              <v:path gradientshapeok="t" o:connecttype="rect"/>
            </v:shapetype>
            <v:shape id="Textfeld 7" o:spid="_x0000_s1028"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5A48118A" w14:textId="19D5C921" w:rsidR="00A0216C" w:rsidRPr="00A0216C" w:rsidRDefault="00A0216C">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it-it"/>
                        <w:b w:val="0"/>
                        <w:bCs w:val="0"/>
                        <w:i w:val="0"/>
                        <w:iCs w:val="0"/>
                        <w:u w:val="none"/>
                        <w:vertAlign w:val="baseline"/>
                        <w:rtl w:val="0"/>
                      </w:rPr>
                      <w:t xml:space="preserve">Company Use</w:t>
                    </w:r>
                  </w:p>
                </w:txbxContent>
              </v:textbox>
              <w10:wrap type="square" anchorx="margin"/>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0pt;height:1500pt" o:bullet="t">
        <v:imagedata r:id="rId1" o:title="AZ_04a"/>
      </v:shape>
    </w:pict>
  </w:numPicBullet>
  <w:numPicBullet w:numPicBulletId="1">
    <w:pict>
      <v:shape id="_x0000_i1026"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7778059D"/>
    <w:multiLevelType w:val="hybridMultilevel"/>
    <w:tmpl w:val="33523F58"/>
    <w:lvl w:ilvl="0" w:tplc="A0741698">
      <w:start w:val="1"/>
      <w:numFmt w:val="bullet"/>
      <w:lvlText w:val="•"/>
      <w:lvlJc w:val="left"/>
      <w:pPr>
        <w:tabs>
          <w:tab w:val="num" w:pos="720"/>
        </w:tabs>
        <w:ind w:left="720" w:hanging="360"/>
      </w:pPr>
      <w:rPr>
        <w:rFonts w:ascii="Arial" w:hAnsi="Arial" w:hint="default"/>
      </w:rPr>
    </w:lvl>
    <w:lvl w:ilvl="1" w:tplc="46B60C78" w:tentative="1">
      <w:start w:val="1"/>
      <w:numFmt w:val="bullet"/>
      <w:lvlText w:val="•"/>
      <w:lvlJc w:val="left"/>
      <w:pPr>
        <w:tabs>
          <w:tab w:val="num" w:pos="1440"/>
        </w:tabs>
        <w:ind w:left="1440" w:hanging="360"/>
      </w:pPr>
      <w:rPr>
        <w:rFonts w:ascii="Arial" w:hAnsi="Arial" w:hint="default"/>
      </w:rPr>
    </w:lvl>
    <w:lvl w:ilvl="2" w:tplc="B3182CBE" w:tentative="1">
      <w:start w:val="1"/>
      <w:numFmt w:val="bullet"/>
      <w:lvlText w:val="•"/>
      <w:lvlJc w:val="left"/>
      <w:pPr>
        <w:tabs>
          <w:tab w:val="num" w:pos="2160"/>
        </w:tabs>
        <w:ind w:left="2160" w:hanging="360"/>
      </w:pPr>
      <w:rPr>
        <w:rFonts w:ascii="Arial" w:hAnsi="Arial" w:hint="default"/>
      </w:rPr>
    </w:lvl>
    <w:lvl w:ilvl="3" w:tplc="D6B0A730" w:tentative="1">
      <w:start w:val="1"/>
      <w:numFmt w:val="bullet"/>
      <w:lvlText w:val="•"/>
      <w:lvlJc w:val="left"/>
      <w:pPr>
        <w:tabs>
          <w:tab w:val="num" w:pos="2880"/>
        </w:tabs>
        <w:ind w:left="2880" w:hanging="360"/>
      </w:pPr>
      <w:rPr>
        <w:rFonts w:ascii="Arial" w:hAnsi="Arial" w:hint="default"/>
      </w:rPr>
    </w:lvl>
    <w:lvl w:ilvl="4" w:tplc="8CB442E4" w:tentative="1">
      <w:start w:val="1"/>
      <w:numFmt w:val="bullet"/>
      <w:lvlText w:val="•"/>
      <w:lvlJc w:val="left"/>
      <w:pPr>
        <w:tabs>
          <w:tab w:val="num" w:pos="3600"/>
        </w:tabs>
        <w:ind w:left="3600" w:hanging="360"/>
      </w:pPr>
      <w:rPr>
        <w:rFonts w:ascii="Arial" w:hAnsi="Arial" w:hint="default"/>
      </w:rPr>
    </w:lvl>
    <w:lvl w:ilvl="5" w:tplc="7F961722" w:tentative="1">
      <w:start w:val="1"/>
      <w:numFmt w:val="bullet"/>
      <w:lvlText w:val="•"/>
      <w:lvlJc w:val="left"/>
      <w:pPr>
        <w:tabs>
          <w:tab w:val="num" w:pos="4320"/>
        </w:tabs>
        <w:ind w:left="4320" w:hanging="360"/>
      </w:pPr>
      <w:rPr>
        <w:rFonts w:ascii="Arial" w:hAnsi="Arial" w:hint="default"/>
      </w:rPr>
    </w:lvl>
    <w:lvl w:ilvl="6" w:tplc="F4201ED2" w:tentative="1">
      <w:start w:val="1"/>
      <w:numFmt w:val="bullet"/>
      <w:lvlText w:val="•"/>
      <w:lvlJc w:val="left"/>
      <w:pPr>
        <w:tabs>
          <w:tab w:val="num" w:pos="5040"/>
        </w:tabs>
        <w:ind w:left="5040" w:hanging="360"/>
      </w:pPr>
      <w:rPr>
        <w:rFonts w:ascii="Arial" w:hAnsi="Arial" w:hint="default"/>
      </w:rPr>
    </w:lvl>
    <w:lvl w:ilvl="7" w:tplc="D3B8B3F0" w:tentative="1">
      <w:start w:val="1"/>
      <w:numFmt w:val="bullet"/>
      <w:lvlText w:val="•"/>
      <w:lvlJc w:val="left"/>
      <w:pPr>
        <w:tabs>
          <w:tab w:val="num" w:pos="5760"/>
        </w:tabs>
        <w:ind w:left="5760" w:hanging="360"/>
      </w:pPr>
      <w:rPr>
        <w:rFonts w:ascii="Arial" w:hAnsi="Arial" w:hint="default"/>
      </w:rPr>
    </w:lvl>
    <w:lvl w:ilvl="8" w:tplc="B4084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16cid:durableId="742265279">
    <w:abstractNumId w:val="9"/>
  </w:num>
  <w:num w:numId="2" w16cid:durableId="1461917119">
    <w:abstractNumId w:val="9"/>
  </w:num>
  <w:num w:numId="3" w16cid:durableId="1923680779">
    <w:abstractNumId w:val="9"/>
  </w:num>
  <w:num w:numId="4" w16cid:durableId="1546022586">
    <w:abstractNumId w:val="9"/>
  </w:num>
  <w:num w:numId="5" w16cid:durableId="270472730">
    <w:abstractNumId w:val="9"/>
  </w:num>
  <w:num w:numId="6" w16cid:durableId="1634403135">
    <w:abstractNumId w:val="2"/>
  </w:num>
  <w:num w:numId="7" w16cid:durableId="670984805">
    <w:abstractNumId w:val="2"/>
  </w:num>
  <w:num w:numId="8" w16cid:durableId="1908147250">
    <w:abstractNumId w:val="2"/>
  </w:num>
  <w:num w:numId="9" w16cid:durableId="715667243">
    <w:abstractNumId w:val="2"/>
  </w:num>
  <w:num w:numId="10" w16cid:durableId="567765115">
    <w:abstractNumId w:val="2"/>
  </w:num>
  <w:num w:numId="11" w16cid:durableId="372315155">
    <w:abstractNumId w:val="5"/>
  </w:num>
  <w:num w:numId="12" w16cid:durableId="1821842313">
    <w:abstractNumId w:val="5"/>
  </w:num>
  <w:num w:numId="13" w16cid:durableId="2007975615">
    <w:abstractNumId w:val="4"/>
  </w:num>
  <w:num w:numId="14" w16cid:durableId="1511405319">
    <w:abstractNumId w:val="4"/>
  </w:num>
  <w:num w:numId="15" w16cid:durableId="334497148">
    <w:abstractNumId w:val="4"/>
  </w:num>
  <w:num w:numId="16" w16cid:durableId="1771897062">
    <w:abstractNumId w:val="4"/>
  </w:num>
  <w:num w:numId="17" w16cid:durableId="783425817">
    <w:abstractNumId w:val="4"/>
  </w:num>
  <w:num w:numId="18" w16cid:durableId="238097045">
    <w:abstractNumId w:val="1"/>
  </w:num>
  <w:num w:numId="19" w16cid:durableId="37242910">
    <w:abstractNumId w:val="3"/>
  </w:num>
  <w:num w:numId="20" w16cid:durableId="2053118653">
    <w:abstractNumId w:val="7"/>
  </w:num>
  <w:num w:numId="21" w16cid:durableId="1058435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7286790">
    <w:abstractNumId w:val="0"/>
  </w:num>
  <w:num w:numId="23" w16cid:durableId="11089654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18687991">
    <w:abstractNumId w:val="6"/>
  </w:num>
  <w:num w:numId="25" w16cid:durableId="377808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1852450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551D"/>
    <w:rsid w:val="0000745C"/>
    <w:rsid w:val="000148B3"/>
    <w:rsid w:val="0004069F"/>
    <w:rsid w:val="00042106"/>
    <w:rsid w:val="0005285B"/>
    <w:rsid w:val="00055529"/>
    <w:rsid w:val="0005640F"/>
    <w:rsid w:val="00062C3A"/>
    <w:rsid w:val="00066D09"/>
    <w:rsid w:val="000956D3"/>
    <w:rsid w:val="0009665C"/>
    <w:rsid w:val="000A0479"/>
    <w:rsid w:val="000A36D9"/>
    <w:rsid w:val="000A4C7D"/>
    <w:rsid w:val="000B582B"/>
    <w:rsid w:val="000C247F"/>
    <w:rsid w:val="000D15C3"/>
    <w:rsid w:val="000D596D"/>
    <w:rsid w:val="000D6ED4"/>
    <w:rsid w:val="000E1810"/>
    <w:rsid w:val="000E24F8"/>
    <w:rsid w:val="000E5738"/>
    <w:rsid w:val="000F3883"/>
    <w:rsid w:val="00103205"/>
    <w:rsid w:val="00112A48"/>
    <w:rsid w:val="0011795C"/>
    <w:rsid w:val="0012026F"/>
    <w:rsid w:val="00126D58"/>
    <w:rsid w:val="00130601"/>
    <w:rsid w:val="00132055"/>
    <w:rsid w:val="00141A05"/>
    <w:rsid w:val="00146C3D"/>
    <w:rsid w:val="00153B47"/>
    <w:rsid w:val="001613A6"/>
    <w:rsid w:val="001614F0"/>
    <w:rsid w:val="001616F4"/>
    <w:rsid w:val="001632B1"/>
    <w:rsid w:val="0018021A"/>
    <w:rsid w:val="00194FB1"/>
    <w:rsid w:val="001A2C5C"/>
    <w:rsid w:val="001B16BB"/>
    <w:rsid w:val="001B34EE"/>
    <w:rsid w:val="001C1A3E"/>
    <w:rsid w:val="00200355"/>
    <w:rsid w:val="00206A14"/>
    <w:rsid w:val="0021351D"/>
    <w:rsid w:val="002171A8"/>
    <w:rsid w:val="00231C0B"/>
    <w:rsid w:val="00240E89"/>
    <w:rsid w:val="00250BAB"/>
    <w:rsid w:val="00250E38"/>
    <w:rsid w:val="00253A2E"/>
    <w:rsid w:val="002603EC"/>
    <w:rsid w:val="002611FE"/>
    <w:rsid w:val="00276FD7"/>
    <w:rsid w:val="00280398"/>
    <w:rsid w:val="00282AFC"/>
    <w:rsid w:val="00286C15"/>
    <w:rsid w:val="0029634D"/>
    <w:rsid w:val="002A4906"/>
    <w:rsid w:val="002A7558"/>
    <w:rsid w:val="002C7542"/>
    <w:rsid w:val="002D065C"/>
    <w:rsid w:val="002D0780"/>
    <w:rsid w:val="002D2EE5"/>
    <w:rsid w:val="002D63E6"/>
    <w:rsid w:val="002E4EB0"/>
    <w:rsid w:val="002E765F"/>
    <w:rsid w:val="002E7E4E"/>
    <w:rsid w:val="002F108B"/>
    <w:rsid w:val="002F5818"/>
    <w:rsid w:val="002F650E"/>
    <w:rsid w:val="002F70FD"/>
    <w:rsid w:val="0030316D"/>
    <w:rsid w:val="0032774C"/>
    <w:rsid w:val="00332D28"/>
    <w:rsid w:val="0034191A"/>
    <w:rsid w:val="00343CC7"/>
    <w:rsid w:val="00353EC2"/>
    <w:rsid w:val="0036561D"/>
    <w:rsid w:val="003665BE"/>
    <w:rsid w:val="00374521"/>
    <w:rsid w:val="00384A08"/>
    <w:rsid w:val="00387E6F"/>
    <w:rsid w:val="003967E5"/>
    <w:rsid w:val="003A753A"/>
    <w:rsid w:val="003B3803"/>
    <w:rsid w:val="003C2A71"/>
    <w:rsid w:val="003D1410"/>
    <w:rsid w:val="003E1CB6"/>
    <w:rsid w:val="003E3CF6"/>
    <w:rsid w:val="003E759F"/>
    <w:rsid w:val="003E7853"/>
    <w:rsid w:val="003F1017"/>
    <w:rsid w:val="003F57AB"/>
    <w:rsid w:val="00400FD9"/>
    <w:rsid w:val="004016F7"/>
    <w:rsid w:val="00403373"/>
    <w:rsid w:val="00403972"/>
    <w:rsid w:val="00404F01"/>
    <w:rsid w:val="00406C81"/>
    <w:rsid w:val="00412545"/>
    <w:rsid w:val="0041475A"/>
    <w:rsid w:val="00417237"/>
    <w:rsid w:val="00430BB0"/>
    <w:rsid w:val="00455B9C"/>
    <w:rsid w:val="0046460D"/>
    <w:rsid w:val="00467F3C"/>
    <w:rsid w:val="0047498D"/>
    <w:rsid w:val="00476100"/>
    <w:rsid w:val="00485E8A"/>
    <w:rsid w:val="00487BFC"/>
    <w:rsid w:val="004A463B"/>
    <w:rsid w:val="004C1967"/>
    <w:rsid w:val="004D23D0"/>
    <w:rsid w:val="004D2BE0"/>
    <w:rsid w:val="004E6EF5"/>
    <w:rsid w:val="00502E34"/>
    <w:rsid w:val="00506409"/>
    <w:rsid w:val="005101B4"/>
    <w:rsid w:val="00516D68"/>
    <w:rsid w:val="00530E32"/>
    <w:rsid w:val="00533132"/>
    <w:rsid w:val="00537210"/>
    <w:rsid w:val="00552A95"/>
    <w:rsid w:val="00552CAD"/>
    <w:rsid w:val="005649F4"/>
    <w:rsid w:val="005710C8"/>
    <w:rsid w:val="005711A3"/>
    <w:rsid w:val="00571A5C"/>
    <w:rsid w:val="00573B2B"/>
    <w:rsid w:val="005776E9"/>
    <w:rsid w:val="00582D70"/>
    <w:rsid w:val="00587AD9"/>
    <w:rsid w:val="005909A8"/>
    <w:rsid w:val="005A2646"/>
    <w:rsid w:val="005A4F04"/>
    <w:rsid w:val="005B5793"/>
    <w:rsid w:val="005B685F"/>
    <w:rsid w:val="005C6B30"/>
    <w:rsid w:val="005C71EC"/>
    <w:rsid w:val="005E764C"/>
    <w:rsid w:val="005E7F7D"/>
    <w:rsid w:val="00604F6A"/>
    <w:rsid w:val="006063D4"/>
    <w:rsid w:val="00623B37"/>
    <w:rsid w:val="006330A2"/>
    <w:rsid w:val="00642EB6"/>
    <w:rsid w:val="006433E2"/>
    <w:rsid w:val="00651E5D"/>
    <w:rsid w:val="00677F11"/>
    <w:rsid w:val="00682B1A"/>
    <w:rsid w:val="00690D7C"/>
    <w:rsid w:val="00690DFE"/>
    <w:rsid w:val="006B3EEC"/>
    <w:rsid w:val="006C0C87"/>
    <w:rsid w:val="006D6CC6"/>
    <w:rsid w:val="006D7EAC"/>
    <w:rsid w:val="006E0104"/>
    <w:rsid w:val="006F7602"/>
    <w:rsid w:val="0070654B"/>
    <w:rsid w:val="00722A17"/>
    <w:rsid w:val="00723F4F"/>
    <w:rsid w:val="007477F1"/>
    <w:rsid w:val="0075100E"/>
    <w:rsid w:val="00753D8D"/>
    <w:rsid w:val="00754B80"/>
    <w:rsid w:val="00755AE0"/>
    <w:rsid w:val="0075713C"/>
    <w:rsid w:val="0075761B"/>
    <w:rsid w:val="00757B83"/>
    <w:rsid w:val="00765D74"/>
    <w:rsid w:val="00774358"/>
    <w:rsid w:val="00791A69"/>
    <w:rsid w:val="0079462A"/>
    <w:rsid w:val="00794830"/>
    <w:rsid w:val="00797CAA"/>
    <w:rsid w:val="007A2B6F"/>
    <w:rsid w:val="007A6BD2"/>
    <w:rsid w:val="007B7EE6"/>
    <w:rsid w:val="007C2658"/>
    <w:rsid w:val="007C3C19"/>
    <w:rsid w:val="007D59A2"/>
    <w:rsid w:val="007E20D0"/>
    <w:rsid w:val="007E3DAB"/>
    <w:rsid w:val="007F2EBD"/>
    <w:rsid w:val="008053B3"/>
    <w:rsid w:val="00820315"/>
    <w:rsid w:val="00823073"/>
    <w:rsid w:val="0082316D"/>
    <w:rsid w:val="00832921"/>
    <w:rsid w:val="00834472"/>
    <w:rsid w:val="00836A5D"/>
    <w:rsid w:val="008427F2"/>
    <w:rsid w:val="00843B45"/>
    <w:rsid w:val="0084571C"/>
    <w:rsid w:val="00863129"/>
    <w:rsid w:val="00866830"/>
    <w:rsid w:val="00870ACE"/>
    <w:rsid w:val="00873125"/>
    <w:rsid w:val="008755E5"/>
    <w:rsid w:val="00881E44"/>
    <w:rsid w:val="00892F6F"/>
    <w:rsid w:val="00896F7E"/>
    <w:rsid w:val="008A632C"/>
    <w:rsid w:val="008A6617"/>
    <w:rsid w:val="008C2A29"/>
    <w:rsid w:val="008C2DB2"/>
    <w:rsid w:val="008D2B87"/>
    <w:rsid w:val="008D770E"/>
    <w:rsid w:val="008F58AF"/>
    <w:rsid w:val="0090337E"/>
    <w:rsid w:val="009049D8"/>
    <w:rsid w:val="00910609"/>
    <w:rsid w:val="00911A78"/>
    <w:rsid w:val="00915841"/>
    <w:rsid w:val="009328FA"/>
    <w:rsid w:val="0093433F"/>
    <w:rsid w:val="00936916"/>
    <w:rsid w:val="00936A78"/>
    <w:rsid w:val="009375E1"/>
    <w:rsid w:val="0093786A"/>
    <w:rsid w:val="009405D6"/>
    <w:rsid w:val="00952853"/>
    <w:rsid w:val="00954D68"/>
    <w:rsid w:val="009646E4"/>
    <w:rsid w:val="0096794C"/>
    <w:rsid w:val="00977EC3"/>
    <w:rsid w:val="0098631D"/>
    <w:rsid w:val="0098793F"/>
    <w:rsid w:val="009B17A9"/>
    <w:rsid w:val="009B211F"/>
    <w:rsid w:val="009B7B19"/>
    <w:rsid w:val="009B7C05"/>
    <w:rsid w:val="009C2378"/>
    <w:rsid w:val="009C5A77"/>
    <w:rsid w:val="009C5D99"/>
    <w:rsid w:val="009D016F"/>
    <w:rsid w:val="009E251D"/>
    <w:rsid w:val="009E4817"/>
    <w:rsid w:val="009F10A8"/>
    <w:rsid w:val="009F715C"/>
    <w:rsid w:val="00A0216C"/>
    <w:rsid w:val="00A02F49"/>
    <w:rsid w:val="00A171F4"/>
    <w:rsid w:val="00A1772D"/>
    <w:rsid w:val="00A177B2"/>
    <w:rsid w:val="00A1795C"/>
    <w:rsid w:val="00A24EFC"/>
    <w:rsid w:val="00A27829"/>
    <w:rsid w:val="00A311A1"/>
    <w:rsid w:val="00A46F1E"/>
    <w:rsid w:val="00A54B45"/>
    <w:rsid w:val="00A5532A"/>
    <w:rsid w:val="00A55A24"/>
    <w:rsid w:val="00A66B3F"/>
    <w:rsid w:val="00A82395"/>
    <w:rsid w:val="00A8500E"/>
    <w:rsid w:val="00A9295C"/>
    <w:rsid w:val="00A977CE"/>
    <w:rsid w:val="00AA0DF7"/>
    <w:rsid w:val="00AB52F9"/>
    <w:rsid w:val="00AB6B9C"/>
    <w:rsid w:val="00AD131F"/>
    <w:rsid w:val="00AD32D5"/>
    <w:rsid w:val="00AD3F31"/>
    <w:rsid w:val="00AD6540"/>
    <w:rsid w:val="00AD70E4"/>
    <w:rsid w:val="00AF3B3A"/>
    <w:rsid w:val="00AF4E8E"/>
    <w:rsid w:val="00AF6569"/>
    <w:rsid w:val="00B00F95"/>
    <w:rsid w:val="00B06265"/>
    <w:rsid w:val="00B277B8"/>
    <w:rsid w:val="00B35915"/>
    <w:rsid w:val="00B5101D"/>
    <w:rsid w:val="00B5232A"/>
    <w:rsid w:val="00B60ED1"/>
    <w:rsid w:val="00B62CF5"/>
    <w:rsid w:val="00B62D06"/>
    <w:rsid w:val="00B85705"/>
    <w:rsid w:val="00B874DC"/>
    <w:rsid w:val="00B90F78"/>
    <w:rsid w:val="00B954CF"/>
    <w:rsid w:val="00BB28D2"/>
    <w:rsid w:val="00BB6A28"/>
    <w:rsid w:val="00BD1058"/>
    <w:rsid w:val="00BD25D1"/>
    <w:rsid w:val="00BD5391"/>
    <w:rsid w:val="00BD764C"/>
    <w:rsid w:val="00BF56B2"/>
    <w:rsid w:val="00C04F38"/>
    <w:rsid w:val="00C055AB"/>
    <w:rsid w:val="00C06F64"/>
    <w:rsid w:val="00C11F95"/>
    <w:rsid w:val="00C136DF"/>
    <w:rsid w:val="00C17501"/>
    <w:rsid w:val="00C40627"/>
    <w:rsid w:val="00C43EAF"/>
    <w:rsid w:val="00C457C3"/>
    <w:rsid w:val="00C644CA"/>
    <w:rsid w:val="00C658FC"/>
    <w:rsid w:val="00C73005"/>
    <w:rsid w:val="00C847DA"/>
    <w:rsid w:val="00C84D75"/>
    <w:rsid w:val="00C85E18"/>
    <w:rsid w:val="00C96E9F"/>
    <w:rsid w:val="00CA4A09"/>
    <w:rsid w:val="00CB4ACF"/>
    <w:rsid w:val="00CB71DD"/>
    <w:rsid w:val="00CC5A63"/>
    <w:rsid w:val="00CC787C"/>
    <w:rsid w:val="00CC7D2A"/>
    <w:rsid w:val="00CD7451"/>
    <w:rsid w:val="00CF36C9"/>
    <w:rsid w:val="00D00EC4"/>
    <w:rsid w:val="00D166AC"/>
    <w:rsid w:val="00D20B6F"/>
    <w:rsid w:val="00D235B8"/>
    <w:rsid w:val="00D365A2"/>
    <w:rsid w:val="00D36BA2"/>
    <w:rsid w:val="00D37CF4"/>
    <w:rsid w:val="00D4487C"/>
    <w:rsid w:val="00D63D33"/>
    <w:rsid w:val="00D73352"/>
    <w:rsid w:val="00D9044A"/>
    <w:rsid w:val="00D935C3"/>
    <w:rsid w:val="00DA0266"/>
    <w:rsid w:val="00DA477E"/>
    <w:rsid w:val="00DB4BB0"/>
    <w:rsid w:val="00DD7AE2"/>
    <w:rsid w:val="00DE461D"/>
    <w:rsid w:val="00E04039"/>
    <w:rsid w:val="00E0416B"/>
    <w:rsid w:val="00E14608"/>
    <w:rsid w:val="00E15EBE"/>
    <w:rsid w:val="00E20825"/>
    <w:rsid w:val="00E21E67"/>
    <w:rsid w:val="00E30EBF"/>
    <w:rsid w:val="00E316C0"/>
    <w:rsid w:val="00E31E03"/>
    <w:rsid w:val="00E451CD"/>
    <w:rsid w:val="00E51170"/>
    <w:rsid w:val="00E52D70"/>
    <w:rsid w:val="00E55534"/>
    <w:rsid w:val="00E62084"/>
    <w:rsid w:val="00E7116D"/>
    <w:rsid w:val="00E72429"/>
    <w:rsid w:val="00E914D1"/>
    <w:rsid w:val="00E960D8"/>
    <w:rsid w:val="00E96A53"/>
    <w:rsid w:val="00EB5FCA"/>
    <w:rsid w:val="00ED516D"/>
    <w:rsid w:val="00EE78EA"/>
    <w:rsid w:val="00F048D4"/>
    <w:rsid w:val="00F109F5"/>
    <w:rsid w:val="00F20920"/>
    <w:rsid w:val="00F23212"/>
    <w:rsid w:val="00F273D9"/>
    <w:rsid w:val="00F33B16"/>
    <w:rsid w:val="00F353EA"/>
    <w:rsid w:val="00F36C27"/>
    <w:rsid w:val="00F56318"/>
    <w:rsid w:val="00F56CBF"/>
    <w:rsid w:val="00F67C95"/>
    <w:rsid w:val="00F718C8"/>
    <w:rsid w:val="00F74540"/>
    <w:rsid w:val="00F75B79"/>
    <w:rsid w:val="00F81226"/>
    <w:rsid w:val="00F82525"/>
    <w:rsid w:val="00F911CB"/>
    <w:rsid w:val="00F91AC4"/>
    <w:rsid w:val="00F97E11"/>
    <w:rsid w:val="00F97FEA"/>
    <w:rsid w:val="00FA50EE"/>
    <w:rsid w:val="00FB0A1D"/>
    <w:rsid w:val="00FB60E1"/>
    <w:rsid w:val="00FB7C0F"/>
    <w:rsid w:val="00FC2156"/>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2611FE"/>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2611FE"/>
    <w:pPr>
      <w:snapToGrid w:val="0"/>
      <w:spacing w:after="220"/>
    </w:pPr>
    <w:rPr>
      <w:rFonts w:eastAsiaTheme="minorHAnsi" w:cstheme="minorBidi"/>
      <w:color w:val="000000"/>
      <w:lang w:eastAsia="en-US"/>
    </w:rPr>
  </w:style>
  <w:style w:type="paragraph" w:customStyle="1" w:styleId="Note">
    <w:name w:val="Note"/>
    <w:next w:val="Standardabsatz"/>
    <w:qFormat/>
    <w:rsid w:val="006C0C87"/>
    <w:pPr>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character" w:styleId="NichtaufgelsteErwhnung">
    <w:name w:val="Unresolved Mention"/>
    <w:basedOn w:val="Absatz-Standardschriftart"/>
    <w:uiPriority w:val="99"/>
    <w:semiHidden/>
    <w:unhideWhenUsed/>
    <w:rsid w:val="00B5101D"/>
    <w:rPr>
      <w:color w:val="605E5C"/>
      <w:shd w:val="clear" w:color="auto" w:fill="E1DFDD"/>
    </w:rPr>
  </w:style>
  <w:style w:type="character" w:styleId="BesuchterLink">
    <w:name w:val="FollowedHyperlink"/>
    <w:basedOn w:val="Absatz-Standardschriftart"/>
    <w:uiPriority w:val="99"/>
    <w:semiHidden/>
    <w:unhideWhenUsed/>
    <w:rsid w:val="00E20825"/>
    <w:rPr>
      <w:color w:val="800080" w:themeColor="followedHyperlink"/>
      <w:u w:val="single"/>
    </w:rPr>
  </w:style>
  <w:style w:type="paragraph" w:styleId="berarbeitung">
    <w:name w:val="Revision"/>
    <w:hidden/>
    <w:uiPriority w:val="71"/>
    <w:semiHidden/>
    <w:rsid w:val="001A2C5C"/>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647851">
      <w:bodyDiv w:val="1"/>
      <w:marLeft w:val="0"/>
      <w:marRight w:val="0"/>
      <w:marTop w:val="0"/>
      <w:marBottom w:val="0"/>
      <w:divBdr>
        <w:top w:val="none" w:sz="0" w:space="0" w:color="auto"/>
        <w:left w:val="none" w:sz="0" w:space="0" w:color="auto"/>
        <w:bottom w:val="none" w:sz="0" w:space="0" w:color="auto"/>
        <w:right w:val="none" w:sz="0" w:space="0" w:color="auto"/>
      </w:divBdr>
    </w:div>
    <w:div w:id="599264842">
      <w:bodyDiv w:val="1"/>
      <w:marLeft w:val="0"/>
      <w:marRight w:val="0"/>
      <w:marTop w:val="0"/>
      <w:marBottom w:val="0"/>
      <w:divBdr>
        <w:top w:val="none" w:sz="0" w:space="0" w:color="auto"/>
        <w:left w:val="none" w:sz="0" w:space="0" w:color="auto"/>
        <w:bottom w:val="none" w:sz="0" w:space="0" w:color="auto"/>
        <w:right w:val="none" w:sz="0" w:space="0" w:color="auto"/>
      </w:divBdr>
    </w:div>
    <w:div w:id="1087505256">
      <w:bodyDiv w:val="1"/>
      <w:marLeft w:val="0"/>
      <w:marRight w:val="0"/>
      <w:marTop w:val="0"/>
      <w:marBottom w:val="0"/>
      <w:divBdr>
        <w:top w:val="none" w:sz="0" w:space="0" w:color="auto"/>
        <w:left w:val="none" w:sz="0" w:space="0" w:color="auto"/>
        <w:bottom w:val="none" w:sz="0" w:space="0" w:color="auto"/>
        <w:right w:val="none" w:sz="0" w:space="0" w:color="auto"/>
      </w:divBdr>
    </w:div>
    <w:div w:id="1592352276">
      <w:bodyDiv w:val="1"/>
      <w:marLeft w:val="0"/>
      <w:marRight w:val="0"/>
      <w:marTop w:val="0"/>
      <w:marBottom w:val="0"/>
      <w:divBdr>
        <w:top w:val="none" w:sz="0" w:space="0" w:color="auto"/>
        <w:left w:val="none" w:sz="0" w:space="0" w:color="auto"/>
        <w:bottom w:val="none" w:sz="0" w:space="0" w:color="auto"/>
        <w:right w:val="none" w:sz="0" w:space="0" w:color="auto"/>
      </w:divBdr>
    </w:div>
    <w:div w:id="2037922676">
      <w:bodyDiv w:val="1"/>
      <w:marLeft w:val="0"/>
      <w:marRight w:val="0"/>
      <w:marTop w:val="0"/>
      <w:marBottom w:val="0"/>
      <w:divBdr>
        <w:top w:val="none" w:sz="0" w:space="0" w:color="auto"/>
        <w:left w:val="none" w:sz="0" w:space="0" w:color="auto"/>
        <w:bottom w:val="none" w:sz="0" w:space="0" w:color="auto"/>
        <w:right w:val="none" w:sz="0" w:space="0" w:color="auto"/>
      </w:divBdr>
      <w:divsChild>
        <w:div w:id="1156191965">
          <w:marLeft w:val="446"/>
          <w:marRight w:val="0"/>
          <w:marTop w:val="0"/>
          <w:marBottom w:val="120"/>
          <w:divBdr>
            <w:top w:val="none" w:sz="0" w:space="0" w:color="auto"/>
            <w:left w:val="none" w:sz="0" w:space="0" w:color="auto"/>
            <w:bottom w:val="none" w:sz="0" w:space="0" w:color="auto"/>
            <w:right w:val="none" w:sz="0" w:space="0" w:color="auto"/>
          </w:divBdr>
        </w:div>
        <w:div w:id="63728469">
          <w:marLeft w:val="446"/>
          <w:marRight w:val="0"/>
          <w:marTop w:val="0"/>
          <w:marBottom w:val="120"/>
          <w:divBdr>
            <w:top w:val="none" w:sz="0" w:space="0" w:color="auto"/>
            <w:left w:val="none" w:sz="0" w:space="0" w:color="auto"/>
            <w:bottom w:val="none" w:sz="0" w:space="0" w:color="auto"/>
            <w:right w:val="none" w:sz="0" w:space="0" w:color="auto"/>
          </w:divBdr>
        </w:div>
        <w:div w:id="2068651335">
          <w:marLeft w:val="446"/>
          <w:marRight w:val="0"/>
          <w:marTop w:val="0"/>
          <w:marBottom w:val="120"/>
          <w:divBdr>
            <w:top w:val="none" w:sz="0" w:space="0" w:color="auto"/>
            <w:left w:val="none" w:sz="0" w:space="0" w:color="auto"/>
            <w:bottom w:val="none" w:sz="0" w:space="0" w:color="auto"/>
            <w:right w:val="none" w:sz="0" w:space="0" w:color="auto"/>
          </w:divBdr>
        </w:div>
        <w:div w:id="35351469">
          <w:marLeft w:val="446"/>
          <w:marRight w:val="0"/>
          <w:marTop w:val="0"/>
          <w:marBottom w:val="12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wirtgen-group.com/bauma-china" TargetMode="External"/><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7.emf"/></Relationships>
</file>

<file path=word/_rels/header3.xml.rels><?xml version="1.0" encoding="UTF-8" standalone="yes"?>
<Relationships xmlns="http://schemas.openxmlformats.org/package/2006/relationships"><Relationship Id="rId2" Type="http://schemas.openxmlformats.org/officeDocument/2006/relationships/image" Target="media/image9.wmf"/><Relationship Id="rId1" Type="http://schemas.openxmlformats.org/officeDocument/2006/relationships/image" Target="media/image8.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972</Words>
  <Characters>6125</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7083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Sabine Gerold</cp:lastModifiedBy>
  <cp:revision>14</cp:revision>
  <cp:lastPrinted>2021-10-28T15:19:00Z</cp:lastPrinted>
  <dcterms:created xsi:type="dcterms:W3CDTF">2026-08-13T12:09:00Z</dcterms:created>
  <dcterms:modified xsi:type="dcterms:W3CDTF">2026-08-31T07:12:00Z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7,8,a</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2023-04-12T08:40:49Z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a64c44f7-51f7-4234-9454-b53c86b3ed22</vt:lpwstr>
  </property>
  <property fmtid="{D5CDD505-2E9C-101B-9397-08002B2CF9AE}" pid="11" name="MSIP_Label_53eb3ead-8c2d-4695-9d06-baf35a321a90_ContentBits">
    <vt:lpwstr>1</vt:lpwstr>
  </property>
</Properties>
</file>