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B0F" w:rsidRPr="00ED1B0F" w:rsidRDefault="00ED1B0F" w:rsidP="00ED1B0F">
      <w:pPr>
        <w:rPr>
          <w:rFonts w:eastAsiaTheme="majorEastAsia" w:cstheme="majorBidi"/>
          <w:b/>
          <w:sz w:val="40"/>
          <w:szCs w:val="32"/>
        </w:rPr>
      </w:pPr>
      <w:r>
        <w:rPr>
          <w:rFonts w:eastAsiaTheme="majorEastAsia" w:cstheme="majorBidi"/>
          <w:b/>
          <w:sz w:val="40"/>
        </w:rPr>
        <w:t>Дробильно-сортировочные установки Kleemann:</w:t>
      </w:r>
      <w:r w:rsidR="0062382E">
        <w:rPr>
          <w:rFonts w:eastAsiaTheme="majorEastAsia" w:cstheme="majorBidi"/>
          <w:b/>
          <w:sz w:val="40"/>
          <w:lang w:val="de-DE"/>
        </w:rPr>
        <w:t xml:space="preserve"> </w:t>
      </w:r>
      <w:r>
        <w:rPr>
          <w:rFonts w:eastAsiaTheme="majorEastAsia" w:cstheme="majorBidi"/>
          <w:b/>
          <w:sz w:val="40"/>
        </w:rPr>
        <w:t xml:space="preserve">инновации для простой и безопасной эксплуатации  </w:t>
      </w:r>
    </w:p>
    <w:p w:rsidR="000A576B" w:rsidRDefault="000A576B" w:rsidP="000A576B">
      <w:pPr>
        <w:rPr>
          <w:rStyle w:val="Hervorhebung"/>
          <w:sz w:val="22"/>
        </w:rPr>
      </w:pPr>
    </w:p>
    <w:p w:rsidR="00ED1B0F" w:rsidRPr="00ED1B0F" w:rsidRDefault="00ED1B0F" w:rsidP="00ED1B0F">
      <w:pPr>
        <w:rPr>
          <w:rStyle w:val="Hervorhebung"/>
          <w:sz w:val="22"/>
        </w:rPr>
      </w:pPr>
      <w:r>
        <w:rPr>
          <w:rStyle w:val="Hervorhebung"/>
          <w:sz w:val="22"/>
        </w:rPr>
        <w:t xml:space="preserve">С ростом требований к современным дробильным установкам повышается их функциональная сложность, что, однако, не должно сказываться на безопасности, простоте управления и времени обучения работе на таких установках. Именно такую задачу поставили перед собой специалисты компании Kleemann и представили на выставке Bauma 2019 свои инновационные решения для простой и безопасной эксплуатации дробильно-сортировочных установок. </w:t>
      </w:r>
    </w:p>
    <w:p w:rsidR="00A344B2" w:rsidRDefault="00A344B2" w:rsidP="008035E8">
      <w:pPr>
        <w:pStyle w:val="Text"/>
      </w:pPr>
    </w:p>
    <w:p w:rsidR="00ED1B0F" w:rsidRDefault="00ED1B0F" w:rsidP="00ED1B0F">
      <w:pPr>
        <w:rPr>
          <w:b/>
          <w:sz w:val="22"/>
          <w:szCs w:val="22"/>
        </w:rPr>
      </w:pPr>
      <w:r>
        <w:rPr>
          <w:b/>
          <w:sz w:val="22"/>
        </w:rPr>
        <w:t xml:space="preserve">Простое и удобное управление </w:t>
      </w:r>
    </w:p>
    <w:p w:rsidR="00ED1B0F" w:rsidRPr="00ED1B0F" w:rsidRDefault="00ED1B0F" w:rsidP="00ED1B0F">
      <w:pPr>
        <w:rPr>
          <w:b/>
          <w:sz w:val="22"/>
          <w:szCs w:val="22"/>
        </w:rPr>
      </w:pPr>
    </w:p>
    <w:p w:rsidR="00ED1B0F" w:rsidRDefault="00ED1B0F" w:rsidP="00ED1B0F">
      <w:pPr>
        <w:rPr>
          <w:sz w:val="22"/>
          <w:szCs w:val="22"/>
        </w:rPr>
      </w:pPr>
      <w:r>
        <w:rPr>
          <w:sz w:val="22"/>
        </w:rPr>
        <w:t xml:space="preserve">Управление представляет собой процесс взаимодействия между оператором и машиной. Вся серия установок PRO и роторная дробилка MR 130 Z EVO2 легко управляются с помощью интуитивно понятной системы управления SPECTIVE.  12-дюймовая сенсорная панель упрощает выполнение работ благодаря удобному обзору всех функций и легко понятным символам операций управления. Дисплей нечувствителен к воздействию пыли, имеет защиту от водяных брызг и обеспечивает считывание данных даже при неблагоприятном освещении. Простая структура меню гарантирует представление на каждой экранной странице только нужной в данный момент информации. Такая концепция облегчает эксплуатацию дробильной установки и позволяет использовать весь её потенциал. </w:t>
      </w:r>
    </w:p>
    <w:p w:rsidR="00F376D5" w:rsidRDefault="00F376D5" w:rsidP="00ED1B0F">
      <w:pPr>
        <w:rPr>
          <w:sz w:val="22"/>
          <w:szCs w:val="22"/>
        </w:rPr>
      </w:pPr>
    </w:p>
    <w:p w:rsidR="00F376D5" w:rsidRPr="00F376D5" w:rsidRDefault="00F376D5" w:rsidP="00ED1B0F">
      <w:pPr>
        <w:rPr>
          <w:b/>
          <w:sz w:val="22"/>
          <w:szCs w:val="22"/>
        </w:rPr>
      </w:pPr>
      <w:r>
        <w:rPr>
          <w:b/>
          <w:sz w:val="22"/>
        </w:rPr>
        <w:t>Снижение шума вблизи работающей машины</w:t>
      </w:r>
    </w:p>
    <w:p w:rsidR="00ED1B0F" w:rsidRPr="00ED1B0F" w:rsidRDefault="00ED1B0F" w:rsidP="00ED1B0F">
      <w:pPr>
        <w:rPr>
          <w:sz w:val="22"/>
          <w:szCs w:val="22"/>
        </w:rPr>
      </w:pPr>
    </w:p>
    <w:p w:rsidR="00ED1B0F" w:rsidRPr="00ED1B0F" w:rsidRDefault="00ED1B0F" w:rsidP="00ED1B0F">
      <w:pPr>
        <w:rPr>
          <w:sz w:val="22"/>
          <w:szCs w:val="22"/>
        </w:rPr>
      </w:pPr>
      <w:r>
        <w:rPr>
          <w:sz w:val="22"/>
        </w:rPr>
        <w:t>Для комфортной и безопасной работы вблизи роторной дробильной установки предусмотрен новый опциональный пакет оснащения для снижения шумовой нагрузки. Сбоку, на уровне двигателя, установлены специальные щитки, которые отражают возникающий шум вверх. На время транспортировки они складываются к установке и не увеличивают её транспортировочную ширину. Кроме того, днище машины имеет шумонепроницаемое исполнение. Таким образом, воспринимаемый оператором рабочий шум уменьшается на шесть децибел. Снижение шумовой нагрузки на три децибела уже вдвое уменьшает шум, воспринимаемый человеческим слухом. Это обеспечивает снижение уровня рабочего шума на значительно меньшем удалении от машины.</w:t>
      </w:r>
    </w:p>
    <w:p w:rsidR="000A576B" w:rsidRPr="000A576B" w:rsidRDefault="000A576B" w:rsidP="000A576B">
      <w:pPr>
        <w:rPr>
          <w:sz w:val="22"/>
          <w:szCs w:val="22"/>
        </w:rPr>
      </w:pPr>
    </w:p>
    <w:p w:rsidR="00ED1B0F" w:rsidRDefault="000853E3" w:rsidP="00ED1B0F">
      <w:pPr>
        <w:rPr>
          <w:b/>
        </w:rPr>
      </w:pPr>
      <w:r>
        <w:rPr>
          <w:b/>
          <w:sz w:val="22"/>
        </w:rPr>
        <w:t>Превосходный доступ и высокая безопасность при выполнении работ по техническому обслуживанию</w:t>
      </w:r>
      <w:r>
        <w:t xml:space="preserve"> </w:t>
      </w:r>
    </w:p>
    <w:p w:rsidR="00ED1B0F" w:rsidRPr="00C61EAB" w:rsidRDefault="00ED1B0F" w:rsidP="00ED1B0F">
      <w:pPr>
        <w:rPr>
          <w:b/>
        </w:rPr>
      </w:pPr>
    </w:p>
    <w:p w:rsidR="00055F85" w:rsidRDefault="00ED1B0F" w:rsidP="00ED1B0F">
      <w:pPr>
        <w:rPr>
          <w:sz w:val="22"/>
          <w:szCs w:val="22"/>
        </w:rPr>
      </w:pPr>
      <w:r>
        <w:rPr>
          <w:sz w:val="22"/>
        </w:rPr>
        <w:t xml:space="preserve">Продуманная конструкция установок обеспечивает простой доступ к ним с любой стороны. Все компоненты установки расположены вдоль потока материала и легко доступны для оператора. Например, дозаправка конусной дробилки MCO 11 PRO легко выполняется с земли, а замена решётных полотен первичного грохочения на роторных дробилках MR 110 и 130 Z EVO2 легко выполняется с </w:t>
      </w:r>
      <w:r>
        <w:rPr>
          <w:sz w:val="22"/>
        </w:rPr>
        <w:lastRenderedPageBreak/>
        <w:t xml:space="preserve">дополнительной рабочей площадки. Кроме того, благодаря хорошей доступности на установке можно быстро и удобно выполнять и другие сервисные работы.  </w:t>
      </w:r>
    </w:p>
    <w:p w:rsidR="00ED1B0F" w:rsidRPr="00ED1B0F" w:rsidRDefault="007700EB" w:rsidP="00ED1B0F">
      <w:pPr>
        <w:rPr>
          <w:sz w:val="22"/>
          <w:szCs w:val="22"/>
        </w:rPr>
      </w:pPr>
      <w:r>
        <w:rPr>
          <w:sz w:val="22"/>
        </w:rPr>
        <w:t xml:space="preserve"> </w:t>
      </w:r>
    </w:p>
    <w:p w:rsidR="00ED1B0F" w:rsidRPr="00ED1B0F" w:rsidRDefault="00ED1B0F" w:rsidP="00ED1B0F">
      <w:pPr>
        <w:rPr>
          <w:sz w:val="22"/>
          <w:szCs w:val="22"/>
        </w:rPr>
      </w:pPr>
      <w:r>
        <w:rPr>
          <w:sz w:val="22"/>
        </w:rPr>
        <w:t xml:space="preserve">При замене бил или устранении завалов на передвижной роторной дробилке максимальную безопасность обеспечивает система Lock &amp; Turn, удостоенная профессиональных наград. В ней используются специальные ключи, которые позволяют работать только на определённых участках дробилки, где оператор может открывать крышки техобслуживания или сдвигать и заменять те или иные компоненты. При перемещении оператора к другому месту проведения работ на установке соответствующие ключи следует вынимать — при этом уже обслуженный участок автоматически блокируется. Помимо системы ключей используется съёмное устройство для блокировки и проворачивания, которое позволяет вручную проворачивать ротор дробилки в любое положение и блокировать его снаружи через передаточный механизм. Благодаря этому замена бил, а также устранение завалов становятся намного безопаснее. </w:t>
      </w:r>
    </w:p>
    <w:p w:rsidR="00BB1DCB" w:rsidRDefault="00BB1DCB" w:rsidP="000A576B">
      <w:pPr>
        <w:rPr>
          <w:sz w:val="22"/>
          <w:szCs w:val="22"/>
        </w:rPr>
      </w:pPr>
    </w:p>
    <w:p w:rsidR="00C953A1" w:rsidRDefault="00C953A1" w:rsidP="00C953A1">
      <w:pPr>
        <w:pStyle w:val="Subtitel-Unterstrichen1"/>
        <w:pBdr>
          <w:bottom w:val="none" w:sz="0" w:space="0" w:color="auto"/>
        </w:pBdr>
        <w:jc w:val="both"/>
        <w:rPr>
          <w:b w:val="0"/>
          <w:i/>
        </w:rPr>
      </w:pPr>
      <w:r>
        <w:rPr>
          <w:b w:val="0"/>
          <w:i/>
        </w:rPr>
        <w:t>Kleemann GmbH — это предприятие в составе Wirtgen Group, развивающегося международного объединения предприятий машиностроительной промышленности. К их числу относятся такие авторитетные марки, как Wirtgen, Vögele, Hamm, Kleemann и Benninghoven с главными заводами в Германии и местными производствами в Бразилии, Китае и Индии. Обслуживание клиентов по всему миру осуществляют 55 центров продаж и обслуживания.</w:t>
      </w:r>
    </w:p>
    <w:p w:rsidR="00440883" w:rsidRDefault="00440883" w:rsidP="00144892">
      <w:pPr>
        <w:pStyle w:val="Text"/>
      </w:pPr>
    </w:p>
    <w:p w:rsidR="00F237D3" w:rsidRDefault="00F237D3" w:rsidP="00144892">
      <w:pPr>
        <w:pStyle w:val="Text"/>
      </w:pPr>
    </w:p>
    <w:p w:rsidR="00CC5715" w:rsidRPr="00566231" w:rsidRDefault="00566231" w:rsidP="00CC5715">
      <w:pPr>
        <w:pStyle w:val="HeadlineFotos"/>
        <w:rPr>
          <w:szCs w:val="22"/>
        </w:rPr>
      </w:pPr>
      <w:r>
        <w:rPr>
          <w:rFonts w:eastAsia="Calibri" w:cs="Times New Roman"/>
          <w:caps w:val="0"/>
        </w:rPr>
        <w:t>Фотографии</w:t>
      </w:r>
      <w:r>
        <w:t>:</w:t>
      </w:r>
    </w:p>
    <w:tbl>
      <w:tblPr>
        <w:tblStyle w:val="Basic"/>
        <w:tblW w:w="0" w:type="auto"/>
        <w:tblCellSpacing w:w="71" w:type="dxa"/>
        <w:tblLook w:val="04A0" w:firstRow="1" w:lastRow="0" w:firstColumn="1" w:lastColumn="0" w:noHBand="0" w:noVBand="1"/>
      </w:tblPr>
      <w:tblGrid>
        <w:gridCol w:w="218"/>
        <w:gridCol w:w="4773"/>
        <w:gridCol w:w="142"/>
        <w:gridCol w:w="4457"/>
        <w:gridCol w:w="218"/>
      </w:tblGrid>
      <w:tr w:rsidR="00BC33D6" w:rsidTr="007E3D03">
        <w:trPr>
          <w:cnfStyle w:val="100000000000" w:firstRow="1" w:lastRow="0" w:firstColumn="0" w:lastColumn="0" w:oddVBand="0" w:evenVBand="0" w:oddHBand="0" w:evenHBand="0" w:firstRowFirstColumn="0" w:firstRowLastColumn="0" w:lastRowFirstColumn="0" w:lastRowLastColumn="0"/>
          <w:tblCellSpacing w:w="71" w:type="dxa"/>
        </w:trPr>
        <w:tc>
          <w:tcPr>
            <w:tcW w:w="4799" w:type="dxa"/>
            <w:gridSpan w:val="3"/>
            <w:tcBorders>
              <w:right w:val="single" w:sz="4" w:space="0" w:color="auto"/>
            </w:tcBorders>
          </w:tcPr>
          <w:p w:rsidR="00AB6F0C" w:rsidRDefault="00AB6F0C" w:rsidP="00D166AC">
            <w:pPr>
              <w:rPr>
                <w:noProof/>
                <w:lang w:eastAsia="de-DE"/>
              </w:rPr>
            </w:pPr>
          </w:p>
          <w:p w:rsidR="00D166AC" w:rsidRDefault="00ED1B0F" w:rsidP="00D166AC">
            <w:r>
              <w:rPr>
                <w:noProof/>
                <w:lang w:val="de-DE" w:eastAsia="de-DE"/>
              </w:rPr>
              <w:drawing>
                <wp:inline distT="0" distB="0" distL="0" distR="0" wp14:anchorId="3E913A42" wp14:editId="6474D296">
                  <wp:extent cx="2459600" cy="1844702"/>
                  <wp:effectExtent l="0" t="0" r="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chinensteuerung_MC_Übersichtsseite_170627_kr.jpg"/>
                          <pic:cNvPicPr/>
                        </pic:nvPicPr>
                        <pic:blipFill>
                          <a:blip r:embed="rId8" cstate="print">
                            <a:extLst>
                              <a:ext uri="{28A0092B-C50C-407E-A947-70E740481C1C}">
                                <a14:useLocalDpi xmlns:a14="http://schemas.microsoft.com/office/drawing/2010/main"/>
                              </a:ext>
                            </a:extLst>
                          </a:blip>
                          <a:stretch>
                            <a:fillRect/>
                          </a:stretch>
                        </pic:blipFill>
                        <pic:spPr>
                          <a:xfrm>
                            <a:off x="0" y="0"/>
                            <a:ext cx="2461533" cy="1846152"/>
                          </a:xfrm>
                          <a:prstGeom prst="rect">
                            <a:avLst/>
                          </a:prstGeom>
                        </pic:spPr>
                      </pic:pic>
                    </a:graphicData>
                  </a:graphic>
                </wp:inline>
              </w:drawing>
            </w:r>
          </w:p>
          <w:p w:rsidR="00AB6F0C" w:rsidRPr="00D166AC" w:rsidRDefault="00AB6F0C" w:rsidP="00D166AC"/>
        </w:tc>
        <w:tc>
          <w:tcPr>
            <w:tcW w:w="4583" w:type="dxa"/>
            <w:gridSpan w:val="2"/>
          </w:tcPr>
          <w:p w:rsidR="00180D64" w:rsidRPr="00180D64" w:rsidRDefault="00321AC7" w:rsidP="00180D64">
            <w:pPr>
              <w:pStyle w:val="berschrift3"/>
              <w:outlineLvl w:val="2"/>
            </w:pPr>
            <w:r>
              <w:t>Концепция управления SPECTIVE</w:t>
            </w:r>
          </w:p>
          <w:p w:rsidR="00D166AC" w:rsidRPr="00857D92" w:rsidRDefault="00081531" w:rsidP="00321AC7">
            <w:pPr>
              <w:pStyle w:val="Text"/>
              <w:jc w:val="left"/>
              <w:rPr>
                <w:sz w:val="20"/>
              </w:rPr>
            </w:pPr>
            <w:r>
              <w:t xml:space="preserve">12-дюймовая сенсорная панель с интуитивно понятным интерфейсом упрощает выполнение работ на установке: удобный обзор всех функций и легко понятные символы операций управления. </w:t>
            </w:r>
          </w:p>
        </w:tc>
      </w:tr>
      <w:tr w:rsidR="007E3D03" w:rsidTr="007E3D03">
        <w:trPr>
          <w:tblCellSpacing w:w="71" w:type="dxa"/>
        </w:trPr>
        <w:tc>
          <w:tcPr>
            <w:tcW w:w="4799" w:type="dxa"/>
            <w:gridSpan w:val="3"/>
            <w:tcBorders>
              <w:right w:val="single" w:sz="4" w:space="0" w:color="auto"/>
            </w:tcBorders>
          </w:tcPr>
          <w:p w:rsidR="007E3D03" w:rsidRPr="00D166AC" w:rsidRDefault="00ED1B0F" w:rsidP="00993F07">
            <w:r>
              <w:rPr>
                <w:noProof/>
                <w:lang w:val="de-DE" w:eastAsia="de-DE"/>
              </w:rPr>
              <w:drawing>
                <wp:inline distT="0" distB="0" distL="0" distR="0" wp14:anchorId="70BFB1CF" wp14:editId="051552EE">
                  <wp:extent cx="2813606" cy="159026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_visual_noise.jpg"/>
                          <pic:cNvPicPr/>
                        </pic:nvPicPr>
                        <pic:blipFill rotWithShape="1">
                          <a:blip r:embed="rId9" cstate="print">
                            <a:extLst>
                              <a:ext uri="{28A0092B-C50C-407E-A947-70E740481C1C}">
                                <a14:useLocalDpi xmlns:a14="http://schemas.microsoft.com/office/drawing/2010/main"/>
                              </a:ext>
                            </a:extLst>
                          </a:blip>
                          <a:srcRect r="-2313"/>
                          <a:stretch/>
                        </pic:blipFill>
                        <pic:spPr bwMode="auto">
                          <a:xfrm>
                            <a:off x="0" y="0"/>
                            <a:ext cx="2827827" cy="1598298"/>
                          </a:xfrm>
                          <a:prstGeom prst="rect">
                            <a:avLst/>
                          </a:prstGeom>
                          <a:ln>
                            <a:noFill/>
                          </a:ln>
                          <a:extLst>
                            <a:ext uri="{53640926-AAD7-44D8-BBD7-CCE9431645EC}">
                              <a14:shadowObscured xmlns:a14="http://schemas.microsoft.com/office/drawing/2010/main"/>
                            </a:ext>
                          </a:extLst>
                        </pic:spPr>
                      </pic:pic>
                    </a:graphicData>
                  </a:graphic>
                </wp:inline>
              </w:drawing>
            </w:r>
          </w:p>
        </w:tc>
        <w:tc>
          <w:tcPr>
            <w:tcW w:w="4583" w:type="dxa"/>
            <w:gridSpan w:val="2"/>
          </w:tcPr>
          <w:p w:rsidR="007E3D03" w:rsidRPr="00180D64" w:rsidRDefault="00321AC7" w:rsidP="00993F07">
            <w:pPr>
              <w:pStyle w:val="berschrift3"/>
              <w:outlineLvl w:val="2"/>
            </w:pPr>
            <w:r>
              <w:t>Опциональный пакет оснащения для снижения шума</w:t>
            </w:r>
          </w:p>
          <w:p w:rsidR="007E3D03" w:rsidRPr="00857D92" w:rsidRDefault="00321AC7" w:rsidP="00321AC7">
            <w:pPr>
              <w:pStyle w:val="Text"/>
              <w:jc w:val="left"/>
              <w:rPr>
                <w:sz w:val="20"/>
              </w:rPr>
            </w:pPr>
            <w:r>
              <w:t xml:space="preserve">Шумоизолирующие щитки и герметичное днище машины обеспечивают снижение шумовой нагрузки рядом с работающей установкой. </w:t>
            </w:r>
          </w:p>
        </w:tc>
      </w:tr>
      <w:tr w:rsidR="00ED1B0F" w:rsidTr="007E3D03">
        <w:trPr>
          <w:tblCellSpacing w:w="71" w:type="dxa"/>
        </w:trPr>
        <w:tc>
          <w:tcPr>
            <w:tcW w:w="4799" w:type="dxa"/>
            <w:gridSpan w:val="3"/>
            <w:tcBorders>
              <w:right w:val="single" w:sz="4" w:space="0" w:color="auto"/>
            </w:tcBorders>
          </w:tcPr>
          <w:p w:rsidR="00ED1B0F" w:rsidRDefault="00EE2A5B" w:rsidP="00993F07">
            <w:pPr>
              <w:rPr>
                <w:noProof/>
                <w:lang w:eastAsia="de-DE"/>
              </w:rPr>
            </w:pPr>
            <w:bookmarkStart w:id="0" w:name="_GoBack"/>
            <w:r>
              <w:rPr>
                <w:noProof/>
                <w:lang w:val="de-DE" w:eastAsia="de-DE"/>
              </w:rPr>
              <w:lastRenderedPageBreak/>
              <w:drawing>
                <wp:anchor distT="0" distB="0" distL="114300" distR="114300" simplePos="0" relativeHeight="251658240" behindDoc="0" locked="0" layoutInCell="1" allowOverlap="1" wp14:anchorId="291EDC0A" wp14:editId="1FEC3849">
                  <wp:simplePos x="0" y="0"/>
                  <wp:positionH relativeFrom="column">
                    <wp:posOffset>67310</wp:posOffset>
                  </wp:positionH>
                  <wp:positionV relativeFrom="paragraph">
                    <wp:posOffset>86360</wp:posOffset>
                  </wp:positionV>
                  <wp:extent cx="2567305" cy="1711325"/>
                  <wp:effectExtent l="0" t="0" r="4445" b="317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leemann_lock_turn_Schritt_6.jpg"/>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567305" cy="1711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p>
        </w:tc>
        <w:tc>
          <w:tcPr>
            <w:tcW w:w="4583" w:type="dxa"/>
            <w:gridSpan w:val="2"/>
          </w:tcPr>
          <w:p w:rsidR="00ED1B0F" w:rsidRDefault="00321AC7" w:rsidP="00993F07">
            <w:pPr>
              <w:pStyle w:val="berschrift3"/>
              <w:outlineLvl w:val="2"/>
            </w:pPr>
            <w:r>
              <w:t xml:space="preserve">Система безопасности Lock &amp; Turn </w:t>
            </w:r>
          </w:p>
          <w:p w:rsidR="00321AC7" w:rsidRDefault="00321AC7" w:rsidP="00321AC7">
            <w:pPr>
              <w:pStyle w:val="Text"/>
            </w:pPr>
            <w:r>
              <w:t xml:space="preserve">При замене бил или устранении завалов успешно испытанная система Lock &amp; Turn обеспечивает максимальную безопасность. </w:t>
            </w:r>
          </w:p>
          <w:p w:rsidR="00321AC7" w:rsidRDefault="00321AC7" w:rsidP="00321AC7">
            <w:pPr>
              <w:pStyle w:val="Text"/>
            </w:pPr>
          </w:p>
          <w:p w:rsidR="00321AC7" w:rsidRDefault="00321AC7" w:rsidP="00321AC7">
            <w:pPr>
              <w:pStyle w:val="Text"/>
            </w:pPr>
          </w:p>
          <w:p w:rsidR="00321AC7" w:rsidRDefault="00321AC7" w:rsidP="00321AC7">
            <w:pPr>
              <w:pStyle w:val="Text"/>
            </w:pPr>
          </w:p>
          <w:p w:rsidR="00321AC7" w:rsidRPr="00ED1B0F" w:rsidRDefault="00321AC7" w:rsidP="00321AC7">
            <w:pPr>
              <w:pStyle w:val="Text"/>
            </w:pPr>
          </w:p>
          <w:p w:rsidR="00ED1B0F" w:rsidRPr="00ED1B0F" w:rsidRDefault="00ED1B0F" w:rsidP="00ED1B0F">
            <w:pPr>
              <w:pStyle w:val="Text"/>
            </w:pPr>
          </w:p>
        </w:tc>
      </w:tr>
      <w:tr w:rsidR="00D166AC" w:rsidTr="007E3D03">
        <w:tblPrEx>
          <w:tblCellSpacing w:w="0" w:type="nil"/>
        </w:tblPrEx>
        <w:trPr>
          <w:gridBefore w:val="1"/>
          <w:gridAfter w:val="1"/>
          <w:wAfter w:w="5" w:type="dxa"/>
        </w:trPr>
        <w:tc>
          <w:tcPr>
            <w:tcW w:w="4658" w:type="dxa"/>
          </w:tcPr>
          <w:p w:rsidR="00AB6F0C" w:rsidRPr="00AB6F0C" w:rsidRDefault="00AB6F0C" w:rsidP="00AB6F0C">
            <w:pPr>
              <w:pStyle w:val="Text"/>
            </w:pPr>
          </w:p>
          <w:p w:rsidR="008D0EB3" w:rsidRDefault="008D0EB3" w:rsidP="00180D64">
            <w:pPr>
              <w:pStyle w:val="HeadlineKontakte"/>
              <w:rPr>
                <w:rFonts w:ascii="Verdana" w:eastAsia="Calibri" w:hAnsi="Verdana" w:cs="Times New Roman"/>
                <w:caps w:val="0"/>
                <w:szCs w:val="22"/>
              </w:rPr>
            </w:pPr>
          </w:p>
          <w:p w:rsidR="008D0EB3" w:rsidRDefault="008D0EB3" w:rsidP="00180D64">
            <w:pPr>
              <w:pStyle w:val="HeadlineKontakte"/>
              <w:rPr>
                <w:rFonts w:ascii="Verdana" w:eastAsia="Calibri" w:hAnsi="Verdana" w:cs="Times New Roman"/>
                <w:caps w:val="0"/>
                <w:szCs w:val="22"/>
              </w:rPr>
            </w:pPr>
          </w:p>
          <w:p w:rsidR="00180D64" w:rsidRPr="00566231" w:rsidRDefault="00566231" w:rsidP="00180D64">
            <w:pPr>
              <w:pStyle w:val="HeadlineKontakte"/>
              <w:rPr>
                <w:szCs w:val="22"/>
              </w:rPr>
            </w:pPr>
            <w:r>
              <w:rPr>
                <w:rFonts w:ascii="Verdana" w:eastAsia="Calibri" w:hAnsi="Verdana" w:cs="Times New Roman"/>
                <w:caps w:val="0"/>
              </w:rPr>
              <w:t>Дополнительную информацию</w:t>
            </w:r>
            <w:r>
              <w:rPr>
                <w:b w:val="0"/>
              </w:rPr>
              <w:t xml:space="preserve"> </w:t>
            </w:r>
          </w:p>
          <w:p w:rsidR="00180D64" w:rsidRPr="00566231" w:rsidRDefault="00566231" w:rsidP="00180D64">
            <w:pPr>
              <w:pStyle w:val="HeadlineKontakte"/>
              <w:rPr>
                <w:szCs w:val="22"/>
              </w:rPr>
            </w:pPr>
            <w:r>
              <w:rPr>
                <w:rFonts w:ascii="Verdana" w:eastAsia="Calibri" w:hAnsi="Verdana" w:cs="Times New Roman"/>
                <w:caps w:val="0"/>
              </w:rPr>
              <w:t>можно получить здесь</w:t>
            </w:r>
            <w:r>
              <w:t>:</w:t>
            </w:r>
          </w:p>
          <w:p w:rsidR="00180D64" w:rsidRPr="00180D64" w:rsidRDefault="00180D64" w:rsidP="00180D64">
            <w:pPr>
              <w:pStyle w:val="Text"/>
            </w:pPr>
            <w:r>
              <w:t>KLEEMANN GmbH</w:t>
            </w:r>
          </w:p>
          <w:p w:rsidR="00180D64" w:rsidRPr="00180D64" w:rsidRDefault="00180D64" w:rsidP="00180D64">
            <w:pPr>
              <w:pStyle w:val="Text"/>
            </w:pPr>
            <w:r>
              <w:t>Mark Hezinger (Марк Хецингер)</w:t>
            </w:r>
          </w:p>
          <w:p w:rsidR="00180D64" w:rsidRPr="00180D64" w:rsidRDefault="00180D64" w:rsidP="00180D64">
            <w:pPr>
              <w:pStyle w:val="Text"/>
            </w:pPr>
            <w:r>
              <w:t>Manfred-Wörner-Straße 160</w:t>
            </w:r>
          </w:p>
          <w:p w:rsidR="00180D64" w:rsidRPr="00180D64" w:rsidRDefault="00180D64" w:rsidP="00180D64">
            <w:pPr>
              <w:pStyle w:val="Text"/>
            </w:pPr>
            <w:r>
              <w:t>73037 Göppingen</w:t>
            </w:r>
          </w:p>
          <w:p w:rsidR="00180D64" w:rsidRPr="00180D64" w:rsidRDefault="00180D64" w:rsidP="00180D64">
            <w:pPr>
              <w:pStyle w:val="Text"/>
            </w:pPr>
            <w:r>
              <w:t>Германия</w:t>
            </w:r>
          </w:p>
          <w:p w:rsidR="00180D64" w:rsidRPr="00180D64" w:rsidRDefault="00180D64" w:rsidP="00180D64">
            <w:pPr>
              <w:pStyle w:val="Text"/>
            </w:pPr>
          </w:p>
          <w:p w:rsidR="00180D64" w:rsidRPr="00180D64" w:rsidRDefault="003A528F" w:rsidP="00180D64">
            <w:pPr>
              <w:pStyle w:val="Text"/>
            </w:pPr>
            <w:r>
              <w:t>Тел.: +49 (0) 7161 206-0</w:t>
            </w:r>
          </w:p>
          <w:p w:rsidR="00180D64" w:rsidRPr="00180D64" w:rsidRDefault="00E87341" w:rsidP="00180D64">
            <w:pPr>
              <w:pStyle w:val="Text"/>
            </w:pPr>
            <w:r>
              <w:t>Эл. почта: mark.hezinger@kleemann.info</w:t>
            </w:r>
          </w:p>
          <w:p w:rsidR="00D166AC" w:rsidRPr="00180D64" w:rsidRDefault="00180D64" w:rsidP="00180D64">
            <w:pPr>
              <w:pStyle w:val="Text"/>
            </w:pPr>
            <w:r>
              <w:t>www.kleemann.info</w:t>
            </w:r>
          </w:p>
        </w:tc>
        <w:tc>
          <w:tcPr>
            <w:tcW w:w="4582" w:type="dxa"/>
            <w:gridSpan w:val="2"/>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D82" w:rsidRDefault="001F3D82" w:rsidP="00E55534">
      <w:r>
        <w:separator/>
      </w:r>
    </w:p>
  </w:endnote>
  <w:endnote w:type="continuationSeparator" w:id="0">
    <w:p w:rsidR="001F3D82" w:rsidRDefault="001F3D8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EE2A5B">
                    <w:rPr>
                      <w:noProof/>
                    </w:rPr>
                    <w:t>01</w:t>
                  </w:r>
                  <w:r w:rsidRPr="008C2DB2">
                    <w:fldChar w:fldCharType="end"/>
                  </w:r>
                </w:p>
              </w:sdtContent>
            </w:sdt>
          </w:tc>
        </w:tr>
      </w:sdtContent>
    </w:sdt>
  </w:tbl>
  <w:sdt>
    <w:sdtPr>
      <w:id w:val="-958642266"/>
      <w:lock w:val="sdtContentLocked"/>
    </w:sdtPr>
    <w:sdtEndPr/>
    <w:sdtContent>
      <w:p w:rsidR="00A171F4" w:rsidRDefault="0062382E">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913A8A"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004e9e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Тел.: +49 26 45/131 0</w:t>
              </w:r>
            </w:p>
          </w:tc>
        </w:tr>
      </w:sdtContent>
    </w:sdt>
  </w:tbl>
  <w:sdt>
    <w:sdtPr>
      <w:id w:val="-1944752626"/>
      <w:lock w:val="sdtContentLocked"/>
    </w:sdtPr>
    <w:sdtEndPr/>
    <w:sdtContent>
      <w:p w:rsidR="00A171F4" w:rsidRDefault="0062382E">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E711BB"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004e9e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D82" w:rsidRDefault="001F3D82" w:rsidP="00E55534">
      <w:r>
        <w:separator/>
      </w:r>
    </w:p>
  </w:footnote>
  <w:footnote w:type="continuationSeparator" w:id="0">
    <w:p w:rsidR="001F3D82" w:rsidRDefault="001F3D82"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rsidR="00A171F4" w:rsidRPr="002E765F" w:rsidRDefault="0062382E">
        <w:pPr>
          <w:pStyle w:val="Kopfzeile"/>
          <w:rPr>
            <w:noProof/>
            <w:sz w:val="14"/>
            <w:lang w:eastAsia="de-DE"/>
          </w:rPr>
        </w:pPr>
        <w:r>
          <w:rPr>
            <w:noProof/>
            <w:lang w:val="de-DE" w:eastAsia="de-DE"/>
          </w:rPr>
          <w:drawing>
            <wp:anchor distT="0" distB="0" distL="114300" distR="114300" simplePos="0" relativeHeight="251672576" behindDoc="0" locked="0" layoutInCell="1" allowOverlap="1" wp14:anchorId="646E91CC" wp14:editId="00DC34C0">
              <wp:simplePos x="0" y="0"/>
              <wp:positionH relativeFrom="page">
                <wp:posOffset>756285</wp:posOffset>
              </wp:positionH>
              <wp:positionV relativeFrom="page">
                <wp:posOffset>288290</wp:posOffset>
              </wp:positionV>
              <wp:extent cx="18900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900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Pr>
                  <w:sz w:val="32"/>
                </w:rPr>
                <w:t>ПРЕСС</w:t>
              </w:r>
              <w:r>
                <w:rPr>
                  <w:b w:val="0"/>
                  <w:sz w:val="32"/>
                </w:rPr>
                <w:t>-</w:t>
              </w:r>
              <w:r>
                <w:rPr>
                  <w:sz w:val="32"/>
                </w:rPr>
                <w:t>РЕЛИЗ</w:t>
              </w:r>
            </w:p>
          </w:tc>
        </w:tr>
      </w:tbl>
      <w:p w:rsidR="00A171F4" w:rsidRPr="002E765F" w:rsidRDefault="0062382E">
        <w:pPr>
          <w:pStyle w:val="Kopfzeile"/>
          <w:rPr>
            <w:sz w:val="14"/>
          </w:rPr>
        </w:pPr>
        <w:r>
          <w:rPr>
            <w:noProof/>
            <w:lang w:val="de-DE" w:eastAsia="de-DE"/>
          </w:rPr>
          <w:drawing>
            <wp:anchor distT="0" distB="0" distL="114300" distR="114300" simplePos="0" relativeHeight="251666432" behindDoc="0" locked="0" layoutInCell="1" allowOverlap="1" wp14:anchorId="1AE063F9" wp14:editId="2D68001B">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mc:AlternateContent>
            <mc:Choice Requires="wps">
              <w:drawing>
                <wp:anchor distT="0" distB="0" distL="114300" distR="114300" simplePos="0" relativeHeight="251668480" behindDoc="0" locked="0" layoutInCell="1" allowOverlap="1" wp14:anchorId="09D8D714" wp14:editId="5EBFCC21">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D0406F"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004e9e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rsidR="00A171F4" w:rsidRDefault="0062382E">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878CFD"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004e9e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500pt;height:1500pt" o:bullet="t">
        <v:imagedata r:id="rId1" o:title="AZ_04a"/>
      </v:shape>
    </w:pict>
  </w:numPicBullet>
  <w:numPicBullet w:numPicBulletId="1">
    <w:pict>
      <v:shape id="_x0000_i1034"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revisionView w:inkAnnotation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B66"/>
    <w:rsid w:val="00034477"/>
    <w:rsid w:val="00035D05"/>
    <w:rsid w:val="00042106"/>
    <w:rsid w:val="00050436"/>
    <w:rsid w:val="00051ADF"/>
    <w:rsid w:val="0005285B"/>
    <w:rsid w:val="00055F85"/>
    <w:rsid w:val="00066D09"/>
    <w:rsid w:val="00081531"/>
    <w:rsid w:val="000853E3"/>
    <w:rsid w:val="000920DC"/>
    <w:rsid w:val="0009665C"/>
    <w:rsid w:val="00097B52"/>
    <w:rsid w:val="000A576B"/>
    <w:rsid w:val="000A779E"/>
    <w:rsid w:val="000B2E47"/>
    <w:rsid w:val="000F05D5"/>
    <w:rsid w:val="001015E3"/>
    <w:rsid w:val="00101D3E"/>
    <w:rsid w:val="00103205"/>
    <w:rsid w:val="00104FF7"/>
    <w:rsid w:val="00105274"/>
    <w:rsid w:val="00105543"/>
    <w:rsid w:val="00117C7A"/>
    <w:rsid w:val="0012026F"/>
    <w:rsid w:val="00121543"/>
    <w:rsid w:val="00130621"/>
    <w:rsid w:val="00132055"/>
    <w:rsid w:val="00140F5E"/>
    <w:rsid w:val="00143E6C"/>
    <w:rsid w:val="00144892"/>
    <w:rsid w:val="00152E32"/>
    <w:rsid w:val="00153279"/>
    <w:rsid w:val="00157EEA"/>
    <w:rsid w:val="00174ABB"/>
    <w:rsid w:val="00180D64"/>
    <w:rsid w:val="001A1CD3"/>
    <w:rsid w:val="001A6B66"/>
    <w:rsid w:val="001B16BB"/>
    <w:rsid w:val="001D4FD3"/>
    <w:rsid w:val="001D7B46"/>
    <w:rsid w:val="001F05EE"/>
    <w:rsid w:val="001F3D82"/>
    <w:rsid w:val="002037B4"/>
    <w:rsid w:val="00210F40"/>
    <w:rsid w:val="00232568"/>
    <w:rsid w:val="0024189E"/>
    <w:rsid w:val="00253A2E"/>
    <w:rsid w:val="00271860"/>
    <w:rsid w:val="00271A9A"/>
    <w:rsid w:val="00272B26"/>
    <w:rsid w:val="0029115B"/>
    <w:rsid w:val="0029634D"/>
    <w:rsid w:val="002A1BDF"/>
    <w:rsid w:val="002B0EDD"/>
    <w:rsid w:val="002E765F"/>
    <w:rsid w:val="002F108B"/>
    <w:rsid w:val="002F2F07"/>
    <w:rsid w:val="00300484"/>
    <w:rsid w:val="003055EF"/>
    <w:rsid w:val="003113A0"/>
    <w:rsid w:val="00314852"/>
    <w:rsid w:val="00321AC7"/>
    <w:rsid w:val="00332A0E"/>
    <w:rsid w:val="003350A1"/>
    <w:rsid w:val="0034191A"/>
    <w:rsid w:val="00343CC7"/>
    <w:rsid w:val="00345994"/>
    <w:rsid w:val="003633B4"/>
    <w:rsid w:val="00384A08"/>
    <w:rsid w:val="00384D56"/>
    <w:rsid w:val="003911E6"/>
    <w:rsid w:val="003A1934"/>
    <w:rsid w:val="003A528F"/>
    <w:rsid w:val="003A753A"/>
    <w:rsid w:val="003C1FDE"/>
    <w:rsid w:val="003D0842"/>
    <w:rsid w:val="003D20B3"/>
    <w:rsid w:val="003E1CB6"/>
    <w:rsid w:val="003E3CF6"/>
    <w:rsid w:val="003E759F"/>
    <w:rsid w:val="00403373"/>
    <w:rsid w:val="00406C81"/>
    <w:rsid w:val="004073BF"/>
    <w:rsid w:val="00412545"/>
    <w:rsid w:val="00415E89"/>
    <w:rsid w:val="00427BF6"/>
    <w:rsid w:val="00430BB0"/>
    <w:rsid w:val="00440883"/>
    <w:rsid w:val="0046512A"/>
    <w:rsid w:val="00467457"/>
    <w:rsid w:val="004A55FF"/>
    <w:rsid w:val="004B734A"/>
    <w:rsid w:val="004C4BFA"/>
    <w:rsid w:val="004E1746"/>
    <w:rsid w:val="004F2C4E"/>
    <w:rsid w:val="004F435C"/>
    <w:rsid w:val="00504129"/>
    <w:rsid w:val="00506409"/>
    <w:rsid w:val="005151F7"/>
    <w:rsid w:val="00530E32"/>
    <w:rsid w:val="0054301D"/>
    <w:rsid w:val="005458B8"/>
    <w:rsid w:val="00560112"/>
    <w:rsid w:val="00566231"/>
    <w:rsid w:val="005711A3"/>
    <w:rsid w:val="00573B2B"/>
    <w:rsid w:val="005828A3"/>
    <w:rsid w:val="005A4F04"/>
    <w:rsid w:val="005B5793"/>
    <w:rsid w:val="005C3C19"/>
    <w:rsid w:val="005D6D8F"/>
    <w:rsid w:val="006016DA"/>
    <w:rsid w:val="0062382E"/>
    <w:rsid w:val="006330A2"/>
    <w:rsid w:val="00633530"/>
    <w:rsid w:val="00642EB6"/>
    <w:rsid w:val="006602B7"/>
    <w:rsid w:val="00674134"/>
    <w:rsid w:val="006A4F8A"/>
    <w:rsid w:val="006B5ED8"/>
    <w:rsid w:val="006F7602"/>
    <w:rsid w:val="006F7A3E"/>
    <w:rsid w:val="00702BAA"/>
    <w:rsid w:val="00704234"/>
    <w:rsid w:val="007154F8"/>
    <w:rsid w:val="00721606"/>
    <w:rsid w:val="00722A17"/>
    <w:rsid w:val="0073326D"/>
    <w:rsid w:val="00733B2B"/>
    <w:rsid w:val="007506E4"/>
    <w:rsid w:val="00757B83"/>
    <w:rsid w:val="00761639"/>
    <w:rsid w:val="007700EB"/>
    <w:rsid w:val="00773A24"/>
    <w:rsid w:val="00775BD4"/>
    <w:rsid w:val="00777B34"/>
    <w:rsid w:val="00791A69"/>
    <w:rsid w:val="00794830"/>
    <w:rsid w:val="00797CAA"/>
    <w:rsid w:val="007A207C"/>
    <w:rsid w:val="007B0317"/>
    <w:rsid w:val="007C0780"/>
    <w:rsid w:val="007C2658"/>
    <w:rsid w:val="007C30C8"/>
    <w:rsid w:val="007C7244"/>
    <w:rsid w:val="007D0D68"/>
    <w:rsid w:val="007E20D0"/>
    <w:rsid w:val="007E3D03"/>
    <w:rsid w:val="008035E8"/>
    <w:rsid w:val="00820315"/>
    <w:rsid w:val="00827C81"/>
    <w:rsid w:val="0083402C"/>
    <w:rsid w:val="00843B45"/>
    <w:rsid w:val="008440AC"/>
    <w:rsid w:val="008467E5"/>
    <w:rsid w:val="00857D92"/>
    <w:rsid w:val="00863129"/>
    <w:rsid w:val="00863DF2"/>
    <w:rsid w:val="008849B9"/>
    <w:rsid w:val="008930F5"/>
    <w:rsid w:val="008A175D"/>
    <w:rsid w:val="008A6553"/>
    <w:rsid w:val="008B53BF"/>
    <w:rsid w:val="008B7CFB"/>
    <w:rsid w:val="008C2DB2"/>
    <w:rsid w:val="008D0EB3"/>
    <w:rsid w:val="008D1DB2"/>
    <w:rsid w:val="008D770E"/>
    <w:rsid w:val="008F2625"/>
    <w:rsid w:val="00902EFB"/>
    <w:rsid w:val="0090337E"/>
    <w:rsid w:val="00954387"/>
    <w:rsid w:val="00962DCF"/>
    <w:rsid w:val="0097480E"/>
    <w:rsid w:val="009867AC"/>
    <w:rsid w:val="009A45BB"/>
    <w:rsid w:val="009B3F84"/>
    <w:rsid w:val="009B6BFA"/>
    <w:rsid w:val="009C09E5"/>
    <w:rsid w:val="009C2378"/>
    <w:rsid w:val="009C3F33"/>
    <w:rsid w:val="009D016F"/>
    <w:rsid w:val="009D7ABD"/>
    <w:rsid w:val="009E251D"/>
    <w:rsid w:val="00A03749"/>
    <w:rsid w:val="00A03B08"/>
    <w:rsid w:val="00A0504E"/>
    <w:rsid w:val="00A171F4"/>
    <w:rsid w:val="00A24EFC"/>
    <w:rsid w:val="00A344B2"/>
    <w:rsid w:val="00A35FE6"/>
    <w:rsid w:val="00A45582"/>
    <w:rsid w:val="00A51B98"/>
    <w:rsid w:val="00A543C8"/>
    <w:rsid w:val="00A67740"/>
    <w:rsid w:val="00A85EDD"/>
    <w:rsid w:val="00A860BC"/>
    <w:rsid w:val="00A86C96"/>
    <w:rsid w:val="00A97104"/>
    <w:rsid w:val="00A977CE"/>
    <w:rsid w:val="00AA2458"/>
    <w:rsid w:val="00AB6F0C"/>
    <w:rsid w:val="00AC2D79"/>
    <w:rsid w:val="00AD131F"/>
    <w:rsid w:val="00AF3B3A"/>
    <w:rsid w:val="00AF6569"/>
    <w:rsid w:val="00B06265"/>
    <w:rsid w:val="00B1437A"/>
    <w:rsid w:val="00B259C1"/>
    <w:rsid w:val="00B4683F"/>
    <w:rsid w:val="00B67C68"/>
    <w:rsid w:val="00B90F78"/>
    <w:rsid w:val="00B95E35"/>
    <w:rsid w:val="00BB1DCB"/>
    <w:rsid w:val="00BB4839"/>
    <w:rsid w:val="00BC33D6"/>
    <w:rsid w:val="00BC42BA"/>
    <w:rsid w:val="00BD1058"/>
    <w:rsid w:val="00BF2700"/>
    <w:rsid w:val="00BF56B2"/>
    <w:rsid w:val="00C023D9"/>
    <w:rsid w:val="00C04AC8"/>
    <w:rsid w:val="00C14602"/>
    <w:rsid w:val="00C234B1"/>
    <w:rsid w:val="00C457C3"/>
    <w:rsid w:val="00C52084"/>
    <w:rsid w:val="00C644CA"/>
    <w:rsid w:val="00C660B9"/>
    <w:rsid w:val="00C7003B"/>
    <w:rsid w:val="00C73005"/>
    <w:rsid w:val="00C7733B"/>
    <w:rsid w:val="00C953A1"/>
    <w:rsid w:val="00C96107"/>
    <w:rsid w:val="00CA075B"/>
    <w:rsid w:val="00CA362F"/>
    <w:rsid w:val="00CB184F"/>
    <w:rsid w:val="00CB6CCA"/>
    <w:rsid w:val="00CC2E4B"/>
    <w:rsid w:val="00CC409D"/>
    <w:rsid w:val="00CC5715"/>
    <w:rsid w:val="00CD1989"/>
    <w:rsid w:val="00CD214F"/>
    <w:rsid w:val="00CD2FF2"/>
    <w:rsid w:val="00CE0EA5"/>
    <w:rsid w:val="00CE24A2"/>
    <w:rsid w:val="00CF36C9"/>
    <w:rsid w:val="00CF7A69"/>
    <w:rsid w:val="00D002B4"/>
    <w:rsid w:val="00D166AC"/>
    <w:rsid w:val="00D16B46"/>
    <w:rsid w:val="00D206FE"/>
    <w:rsid w:val="00D516D8"/>
    <w:rsid w:val="00D55B05"/>
    <w:rsid w:val="00D62E38"/>
    <w:rsid w:val="00D8365E"/>
    <w:rsid w:val="00D85AB6"/>
    <w:rsid w:val="00DA7F00"/>
    <w:rsid w:val="00E14608"/>
    <w:rsid w:val="00E156A9"/>
    <w:rsid w:val="00E21E67"/>
    <w:rsid w:val="00E30EBF"/>
    <w:rsid w:val="00E52D70"/>
    <w:rsid w:val="00E55534"/>
    <w:rsid w:val="00E577AD"/>
    <w:rsid w:val="00E81D70"/>
    <w:rsid w:val="00E8406A"/>
    <w:rsid w:val="00E87341"/>
    <w:rsid w:val="00E914D1"/>
    <w:rsid w:val="00E946CD"/>
    <w:rsid w:val="00EB2BA6"/>
    <w:rsid w:val="00EB3710"/>
    <w:rsid w:val="00EC21C7"/>
    <w:rsid w:val="00ED1B0F"/>
    <w:rsid w:val="00EE2A5B"/>
    <w:rsid w:val="00EE3384"/>
    <w:rsid w:val="00EE4DE9"/>
    <w:rsid w:val="00EF01E1"/>
    <w:rsid w:val="00EF3047"/>
    <w:rsid w:val="00F073CF"/>
    <w:rsid w:val="00F20920"/>
    <w:rsid w:val="00F237D3"/>
    <w:rsid w:val="00F26A26"/>
    <w:rsid w:val="00F32212"/>
    <w:rsid w:val="00F376D5"/>
    <w:rsid w:val="00F3780A"/>
    <w:rsid w:val="00F466CC"/>
    <w:rsid w:val="00F56318"/>
    <w:rsid w:val="00F82525"/>
    <w:rsid w:val="00F96C19"/>
    <w:rsid w:val="00F97FEA"/>
    <w:rsid w:val="00FA144F"/>
    <w:rsid w:val="00FB3623"/>
    <w:rsid w:val="00FB41CF"/>
    <w:rsid w:val="00FB64A5"/>
    <w:rsid w:val="00FD7F09"/>
    <w:rsid w:val="00FE1BA1"/>
    <w:rsid w:val="00FE4F94"/>
    <w:rsid w:val="00FF52AE"/>
    <w:rsid w:val="00FF58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2CB4021-81FD-4A83-AB4A-4299B57F9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E3D0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004E9E" w:themeColor="text2"/>
      <w:sz w:val="18"/>
    </w:rPr>
  </w:style>
  <w:style w:type="character" w:customStyle="1" w:styleId="FuzeileZchn">
    <w:name w:val="Fußzeile Zchn"/>
    <w:basedOn w:val="Absatz-Standardschriftart"/>
    <w:link w:val="Fuzeile"/>
    <w:uiPriority w:val="99"/>
    <w:rsid w:val="00642EB6"/>
    <w:rPr>
      <w:color w:val="004E9E"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180D64"/>
    <w:pPr>
      <w:spacing w:line="600" w:lineRule="exact"/>
      <w:contextualSpacing/>
    </w:pPr>
    <w:rPr>
      <w:rFonts w:asciiTheme="majorHAnsi" w:eastAsiaTheme="majorEastAsia" w:hAnsiTheme="majorHAnsi" w:cstheme="majorBidi"/>
      <w:b/>
      <w:color w:val="004E9E" w:themeColor="text2"/>
      <w:sz w:val="40"/>
      <w:szCs w:val="52"/>
    </w:rPr>
  </w:style>
  <w:style w:type="character" w:customStyle="1" w:styleId="TitelZchn">
    <w:name w:val="Titel Zchn"/>
    <w:basedOn w:val="Absatz-Standardschriftart"/>
    <w:link w:val="Titel"/>
    <w:rsid w:val="00180D64"/>
    <w:rPr>
      <w:rFonts w:asciiTheme="majorHAnsi" w:eastAsiaTheme="majorEastAsia" w:hAnsiTheme="majorHAnsi" w:cstheme="majorBidi"/>
      <w:b/>
      <w:color w:val="004E9E" w:themeColor="text2"/>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9867AC"/>
    <w:pPr>
      <w:numPr>
        <w:numId w:val="22"/>
      </w:numPr>
      <w:spacing w:after="120" w:line="280" w:lineRule="atLeast"/>
      <w:contextualSpacing/>
    </w:pPr>
    <w:rPr>
      <w:sz w:val="22"/>
    </w:rPr>
  </w:style>
  <w:style w:type="paragraph" w:customStyle="1" w:styleId="Bulletpoint2">
    <w:name w:val="Bulletpoint 2"/>
    <w:basedOn w:val="Standard"/>
    <w:uiPriority w:val="5"/>
    <w:qFormat/>
    <w:rsid w:val="009867AC"/>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9867AC"/>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004E9E" w:themeColor="text2"/>
        <w:bottom w:val="single" w:sz="2" w:space="0" w:color="004E9E" w:themeColor="text2"/>
        <w:right w:val="single" w:sz="2" w:space="0" w:color="004E9E" w:themeColor="text2"/>
        <w:insideH w:val="single" w:sz="2" w:space="0" w:color="004E9E" w:themeColor="text2"/>
        <w:insideV w:val="single" w:sz="2" w:space="0" w:color="004E9E"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004E9E" w:themeColor="text2"/>
          <w:bottom w:val="single" w:sz="2" w:space="0" w:color="FFFFFF" w:themeColor="background1"/>
          <w:right w:val="single" w:sz="2" w:space="0" w:color="004E9E" w:themeColor="text2"/>
          <w:insideH w:val="single" w:sz="2" w:space="0" w:color="FFFFFF" w:themeColor="background1"/>
          <w:insideV w:val="single" w:sz="2" w:space="0" w:color="FFFFFF" w:themeColor="background1"/>
          <w:tl2br w:val="nil"/>
          <w:tr2bl w:val="nil"/>
        </w:tcBorders>
        <w:shd w:val="clear" w:color="auto" w:fill="004E9E"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customStyle="1" w:styleId="Subtitel-Unterstrichen1">
    <w:name w:val="Subtitel-Unterstrichen1"/>
    <w:basedOn w:val="Standard"/>
    <w:qFormat/>
    <w:rsid w:val="00C953A1"/>
    <w:pPr>
      <w:pBdr>
        <w:bottom w:val="single" w:sz="12" w:space="1" w:color="auto"/>
      </w:pBdr>
      <w:spacing w:line="276" w:lineRule="auto"/>
      <w:contextualSpacing/>
    </w:pPr>
    <w:rPr>
      <w:rFonts w:ascii="Verdana" w:hAnsi="Verdana"/>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K:\V\VK\2-VK-INTERN\02_pr\08_Vorlagen_Wirtgen\PR_KLEEEMANN_Vorlage.dotx" TargetMode="External"/></Relationships>
</file>

<file path=word/theme/theme1.xml><?xml version="1.0" encoding="utf-8"?>
<a:theme xmlns:a="http://schemas.openxmlformats.org/drawingml/2006/main" name="Office Theme">
  <a:themeElements>
    <a:clrScheme name="Wirtgen_Kleemann">
      <a:dk1>
        <a:srgbClr val="41535D"/>
      </a:dk1>
      <a:lt1>
        <a:sysClr val="window" lastClr="FFFFFF"/>
      </a:lt1>
      <a:dk2>
        <a:srgbClr val="004E9E"/>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D431C24E-4281-4D84-BE4C-4C427504BE90}">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PR_KLEEEMANN_Vorlage</Template>
  <TotalTime>0</TotalTime>
  <Pages>3</Pages>
  <Words>639</Words>
  <Characters>4028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Kathrin</dc:creator>
  <cp:lastModifiedBy>Richetti Stella</cp:lastModifiedBy>
  <cp:revision>3</cp:revision>
  <cp:lastPrinted>2019-03-01T08:49:00Z</cp:lastPrinted>
  <dcterms:created xsi:type="dcterms:W3CDTF">2019-03-06T08:03:00Z</dcterms:created>
  <dcterms:modified xsi:type="dcterms:W3CDTF">2019-03-11T14:13:00Z</dcterms:modified>
</cp:coreProperties>
</file>