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E6C" w:rsidRPr="00ED1B0F" w:rsidRDefault="00ED1B0F" w:rsidP="00143E6C">
      <w:pPr>
        <w:rPr>
          <w:rFonts w:eastAsiaTheme="majorEastAsia" w:cstheme="majorBidi"/>
          <w:b/>
          <w:sz w:val="40"/>
          <w:szCs w:val="32"/>
        </w:rPr>
      </w:pPr>
      <w:r>
        <w:rPr>
          <w:rFonts w:eastAsiaTheme="majorEastAsia" w:cstheme="majorBidi"/>
          <w:b/>
          <w:sz w:val="40"/>
        </w:rPr>
        <w:t>Installations mobiles Kleemann de concassage et de criblage :</w:t>
      </w:r>
    </w:p>
    <w:p w:rsidR="00ED1B0F" w:rsidRPr="00ED1B0F" w:rsidRDefault="00ED1B0F" w:rsidP="00ED1B0F">
      <w:pPr>
        <w:rPr>
          <w:rFonts w:eastAsiaTheme="majorEastAsia" w:cstheme="majorBidi"/>
          <w:b/>
          <w:sz w:val="40"/>
          <w:szCs w:val="32"/>
        </w:rPr>
      </w:pPr>
      <w:r>
        <w:rPr>
          <w:rFonts w:eastAsiaTheme="majorEastAsia" w:cstheme="majorBidi"/>
          <w:b/>
          <w:sz w:val="40"/>
        </w:rPr>
        <w:t xml:space="preserve">innovations pour un fonctionnement simple et sûr  </w:t>
      </w:r>
    </w:p>
    <w:p w:rsidR="000A576B" w:rsidRDefault="000A576B" w:rsidP="000A576B">
      <w:pPr>
        <w:rPr>
          <w:rStyle w:val="Hervorhebung"/>
          <w:sz w:val="22"/>
        </w:rPr>
      </w:pPr>
    </w:p>
    <w:p w:rsidR="00ED1B0F" w:rsidRPr="00ED1B0F" w:rsidRDefault="00ED1B0F" w:rsidP="00ED1B0F">
      <w:pPr>
        <w:rPr>
          <w:rStyle w:val="Hervorhebung"/>
          <w:sz w:val="22"/>
        </w:rPr>
      </w:pPr>
      <w:r>
        <w:rPr>
          <w:rStyle w:val="Hervorhebung"/>
          <w:sz w:val="22"/>
        </w:rPr>
        <w:t xml:space="preserve">En raison des exigences croissantes pour les installations de concassage modernes, elles deviennent aussi de plus en plus complexes. Dans le même temps, la technique doit être sûre et l'utilisation doit rester le plus simple possible, et ce sans nécessiter d'un long apprentissage. Kleemann a répondu à ce challenge et présente à l'occasion de la Bauma 2019 des solutions innovantes pour le fonctionnement simple et sûr d'installations de concassage et de criblage. </w:t>
      </w:r>
    </w:p>
    <w:p w:rsidR="00A344B2" w:rsidRDefault="00A344B2" w:rsidP="008035E8">
      <w:pPr>
        <w:pStyle w:val="Text"/>
      </w:pPr>
    </w:p>
    <w:p w:rsidR="00ED1B0F" w:rsidRDefault="00ED1B0F" w:rsidP="00ED1B0F">
      <w:pPr>
        <w:rPr>
          <w:b/>
          <w:sz w:val="22"/>
          <w:szCs w:val="22"/>
        </w:rPr>
      </w:pPr>
      <w:r>
        <w:rPr>
          <w:b/>
          <w:sz w:val="22"/>
        </w:rPr>
        <w:t xml:space="preserve">Utilisation simple et confortable </w:t>
      </w:r>
    </w:p>
    <w:p w:rsidR="00ED1B0F" w:rsidRPr="00ED1B0F" w:rsidRDefault="00ED1B0F" w:rsidP="00ED1B0F">
      <w:pPr>
        <w:rPr>
          <w:b/>
          <w:sz w:val="22"/>
          <w:szCs w:val="22"/>
        </w:rPr>
      </w:pPr>
    </w:p>
    <w:p w:rsidR="00ED1B0F" w:rsidRDefault="00ED1B0F" w:rsidP="00ED1B0F">
      <w:pPr>
        <w:rPr>
          <w:sz w:val="22"/>
          <w:szCs w:val="22"/>
        </w:rPr>
      </w:pPr>
      <w:r>
        <w:rPr>
          <w:sz w:val="22"/>
        </w:rPr>
        <w:t xml:space="preserve">La commande est l'interface homme-machine. Toute la gamme PRO et le concasseur à percussion MR 130 Z EVO2 peuvent être contrôlés confortablement grâce au concept de commande intuitif SPECTIVE.  L'écran tactile 12 pouces facilite la commande de l'installation, car toutes les fonctions peuvent être visualisées en un coup d’œil et des symboles clairs montre la voie à suivre. L'interface utilisateur est résistante à la poussière, protégée contre les projections d'eau et reste bien lisible, même dans des conditions de luminosité difficiles. Grâce aux menus à structure simple, seules les informations nécessaires sont affichées sur chaque page. Ce concept permet d'utiliser le plus simplement possible l'installation de concassage, tout en exploitant au maximum ses fonctions. </w:t>
      </w:r>
    </w:p>
    <w:p w:rsidR="00F376D5" w:rsidRDefault="00F376D5" w:rsidP="00ED1B0F">
      <w:pPr>
        <w:rPr>
          <w:sz w:val="22"/>
          <w:szCs w:val="22"/>
        </w:rPr>
      </w:pPr>
    </w:p>
    <w:p w:rsidR="00F376D5" w:rsidRPr="00F376D5" w:rsidRDefault="00F376D5" w:rsidP="00ED1B0F">
      <w:pPr>
        <w:rPr>
          <w:b/>
          <w:sz w:val="22"/>
          <w:szCs w:val="22"/>
        </w:rPr>
      </w:pPr>
      <w:r>
        <w:rPr>
          <w:b/>
          <w:sz w:val="22"/>
        </w:rPr>
        <w:t>Réduction des bruits à proximité de la machine</w:t>
      </w:r>
    </w:p>
    <w:p w:rsidR="00ED1B0F" w:rsidRPr="00ED1B0F" w:rsidRDefault="00ED1B0F" w:rsidP="00ED1B0F">
      <w:pPr>
        <w:rPr>
          <w:sz w:val="22"/>
          <w:szCs w:val="22"/>
        </w:rPr>
      </w:pPr>
    </w:p>
    <w:p w:rsidR="00ED1B0F" w:rsidRPr="00ED1B0F" w:rsidRDefault="00ED1B0F" w:rsidP="00ED1B0F">
      <w:pPr>
        <w:rPr>
          <w:sz w:val="22"/>
          <w:szCs w:val="22"/>
        </w:rPr>
      </w:pPr>
      <w:r>
        <w:rPr>
          <w:sz w:val="22"/>
        </w:rPr>
        <w:t>Le pack en option de réduction des bruits permet de travailler confortablement et en toute sécurité à proximité de l'installation de concassage à percussion. Des volets d'insonorisation posés latéralement à hauteur du moteur dissipent les sons vers le haut. Ces volets sont rabattus sur l'installation pour le transport et n'ont de ce fait aucune influence sur la largeur de transport. En outre, le plancher des organes est fermé et insonorisé. Ainsi, le volume sonore ressenti par les utilisateurs se réduit de six décibels. Pour l'oreille humaine, une baisse de trois décibels correspond à une division par deux du bruit ressenti. Ceci permet de travailler beaucoup plus près de la machine dans un environnement moins bruyant.</w:t>
      </w:r>
    </w:p>
    <w:p w:rsidR="000A576B" w:rsidRPr="000A576B" w:rsidRDefault="000A576B" w:rsidP="000A576B">
      <w:pPr>
        <w:rPr>
          <w:sz w:val="22"/>
          <w:szCs w:val="22"/>
        </w:rPr>
      </w:pPr>
    </w:p>
    <w:p w:rsidR="00ED1B0F" w:rsidRDefault="000853E3" w:rsidP="00ED1B0F">
      <w:pPr>
        <w:rPr>
          <w:b/>
        </w:rPr>
      </w:pPr>
      <w:r>
        <w:rPr>
          <w:b/>
          <w:sz w:val="22"/>
        </w:rPr>
        <w:t>Excellente accessibilité et sécurité pour l'entretien</w:t>
      </w:r>
      <w:r>
        <w:t xml:space="preserve"> </w:t>
      </w:r>
    </w:p>
    <w:p w:rsidR="00ED1B0F" w:rsidRPr="00C61EAB" w:rsidRDefault="00ED1B0F" w:rsidP="00ED1B0F">
      <w:pPr>
        <w:rPr>
          <w:b/>
        </w:rPr>
      </w:pPr>
    </w:p>
    <w:p w:rsidR="00055F85" w:rsidRDefault="00ED1B0F" w:rsidP="00ED1B0F">
      <w:pPr>
        <w:rPr>
          <w:sz w:val="22"/>
          <w:szCs w:val="22"/>
        </w:rPr>
      </w:pPr>
      <w:r>
        <w:rPr>
          <w:sz w:val="22"/>
        </w:rPr>
        <w:t xml:space="preserve">La conception bien pensée des machines offre un bon accès de tous les côtés. Tous les composants de l'installation sont conçus dans le sens du flux matière et facilement accessibles pour l'opérateur. Ainsi, le ravitaillement en carburant du concasseur à cône MCO 11 PRO est par ex. possible très confortablement depuis le sol et le remplacement des grilles de précriblage sur les concasseurs à percussion MR 110 et 130 Z EVO2 peut être réalisé facilement via une plate-forme auxiliaire. Les </w:t>
      </w:r>
      <w:r>
        <w:rPr>
          <w:sz w:val="22"/>
        </w:rPr>
        <w:lastRenderedPageBreak/>
        <w:t xml:space="preserve">autres travaux de maintenance sur la machine peuvent eux-aussi être effectués rapidement et confortablement grâce à la bonne accessibilité.  </w:t>
      </w:r>
    </w:p>
    <w:p w:rsidR="00ED1B0F" w:rsidRPr="00ED1B0F" w:rsidRDefault="007700EB" w:rsidP="00ED1B0F">
      <w:pPr>
        <w:rPr>
          <w:sz w:val="22"/>
          <w:szCs w:val="22"/>
        </w:rPr>
      </w:pPr>
      <w:r>
        <w:rPr>
          <w:sz w:val="22"/>
        </w:rPr>
        <w:t xml:space="preserve"> </w:t>
      </w:r>
    </w:p>
    <w:p w:rsidR="00ED1B0F" w:rsidRPr="00ED1B0F" w:rsidRDefault="00ED1B0F" w:rsidP="00ED1B0F">
      <w:pPr>
        <w:rPr>
          <w:sz w:val="22"/>
          <w:szCs w:val="22"/>
        </w:rPr>
      </w:pPr>
      <w:r>
        <w:rPr>
          <w:sz w:val="22"/>
        </w:rPr>
        <w:t xml:space="preserve">Lors du changement des battoirs sur le concasseur mobile à percussion ou de l'élimination de bourrages, le système "Lock &amp; Turn" assure un haut niveau de sécurité. Des clés spéciales sont employées qui permettent de travailler uniquement sur certaines zones du concasseur. Là, l'opérateur peut ouvrir les trappes de visite, déplacer et remplacer des composants. Si l'opérateur souhaite effectuer des travaux à un autre endroit, les clés doivent être retirées, ce qui verrouille automatiquement la zone traitée auparavant. En plus du système de clés, un dispositif de rotation permet de tourner le rotor du concasseur de l'extérieur dans n'importe quelle position et de le bloquer manuellement. Le remplacement de battoirs ainsi que l'élimination de bourrages peuvent ainsi être réalisés en toute sécurité. </w:t>
      </w:r>
    </w:p>
    <w:p w:rsidR="00BB1DCB" w:rsidRDefault="00BB1DCB" w:rsidP="000A576B">
      <w:pPr>
        <w:rPr>
          <w:sz w:val="22"/>
          <w:szCs w:val="22"/>
        </w:rPr>
      </w:pPr>
    </w:p>
    <w:p w:rsidR="00C953A1" w:rsidRDefault="00C953A1" w:rsidP="00C953A1">
      <w:pPr>
        <w:pStyle w:val="Subtitel-Unterstrichen1"/>
        <w:pBdr>
          <w:bottom w:val="none" w:sz="0" w:space="0" w:color="auto"/>
        </w:pBdr>
        <w:jc w:val="both"/>
        <w:rPr>
          <w:b w:val="0"/>
          <w:i/>
        </w:rPr>
      </w:pPr>
      <w:r>
        <w:rPr>
          <w:b w:val="0"/>
          <w:i/>
        </w:rPr>
        <w:t>Kleemann GmbH est une société appartenant au Wirtgen Group, un groupe international d'entreprises de construction mécanique en pleine expansion. Il regroupe les cinq marques renommées que sont Wirtgen, Vögele, Hamm, Kleemann et Benninghoven avec leurs sièges en Allemagne ainsi que les sites de production au Brésil, en Chine et en Inde. La gestion mondiale de la clientèle est assurée par 55 sociétés de vente et de service.</w:t>
      </w:r>
    </w:p>
    <w:p w:rsidR="00440883" w:rsidRDefault="00440883" w:rsidP="00144892">
      <w:pPr>
        <w:pStyle w:val="Text"/>
      </w:pPr>
    </w:p>
    <w:p w:rsidR="00F237D3" w:rsidRDefault="00F237D3" w:rsidP="00144892">
      <w:pPr>
        <w:pStyle w:val="Text"/>
      </w:pPr>
    </w:p>
    <w:p w:rsidR="00CC5715" w:rsidRPr="00566231" w:rsidRDefault="00566231" w:rsidP="00CC5715">
      <w:pPr>
        <w:pStyle w:val="HeadlineFotos"/>
        <w:rPr>
          <w:szCs w:val="22"/>
        </w:rPr>
      </w:pPr>
      <w:r>
        <w:rPr>
          <w:rFonts w:eastAsia="Calibri" w:cs="Times New Roman"/>
          <w:caps w:val="0"/>
        </w:rPr>
        <w:t>Photos</w:t>
      </w:r>
      <w:r>
        <w:t xml:space="preserve"> :</w:t>
      </w:r>
    </w:p>
    <w:tbl>
      <w:tblPr>
        <w:tblStyle w:val="Basic"/>
        <w:tblW w:w="0" w:type="auto"/>
        <w:tblCellSpacing w:w="71" w:type="dxa"/>
        <w:tblLook w:val="04A0" w:firstRow="1" w:lastRow="0" w:firstColumn="1" w:lastColumn="0" w:noHBand="0" w:noVBand="1"/>
      </w:tblPr>
      <w:tblGrid>
        <w:gridCol w:w="218"/>
        <w:gridCol w:w="4777"/>
        <w:gridCol w:w="142"/>
        <w:gridCol w:w="4453"/>
        <w:gridCol w:w="218"/>
      </w:tblGrid>
      <w:tr w:rsidR="00BC33D6" w:rsidTr="007E3D03">
        <w:trPr>
          <w:cnfStyle w:val="100000000000" w:firstRow="1" w:lastRow="0" w:firstColumn="0" w:lastColumn="0" w:oddVBand="0" w:evenVBand="0" w:oddHBand="0" w:evenHBand="0" w:firstRowFirstColumn="0" w:firstRowLastColumn="0" w:lastRowFirstColumn="0" w:lastRowLastColumn="0"/>
          <w:tblCellSpacing w:w="71" w:type="dxa"/>
        </w:trPr>
        <w:tc>
          <w:tcPr>
            <w:tcW w:w="4799" w:type="dxa"/>
            <w:gridSpan w:val="3"/>
            <w:tcBorders>
              <w:right w:val="single" w:sz="4" w:space="0" w:color="auto"/>
            </w:tcBorders>
          </w:tcPr>
          <w:p w:rsidR="00AB6F0C" w:rsidRDefault="00AB6F0C" w:rsidP="00D166AC">
            <w:pPr>
              <w:rPr>
                <w:noProof/>
                <w:lang w:eastAsia="de-DE"/>
              </w:rPr>
            </w:pPr>
          </w:p>
          <w:p w:rsidR="00D166AC" w:rsidRDefault="00ED1B0F" w:rsidP="00D166AC">
            <w:r>
              <w:rPr>
                <w:noProof/>
                <w:lang w:val="de-DE" w:eastAsia="de-DE"/>
              </w:rPr>
              <w:drawing>
                <wp:inline distT="0" distB="0" distL="0" distR="0" wp14:anchorId="3E913A42" wp14:editId="6474D296">
                  <wp:extent cx="2459600" cy="1844702"/>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chinensteuerung_MC_Übersichtsseite_170627_kr.jpg"/>
                          <pic:cNvPicPr/>
                        </pic:nvPicPr>
                        <pic:blipFill>
                          <a:blip r:embed="rId8" cstate="print">
                            <a:extLst>
                              <a:ext uri="{28A0092B-C50C-407E-A947-70E740481C1C}">
                                <a14:useLocalDpi xmlns:a14="http://schemas.microsoft.com/office/drawing/2010/main"/>
                              </a:ext>
                            </a:extLst>
                          </a:blip>
                          <a:stretch>
                            <a:fillRect/>
                          </a:stretch>
                        </pic:blipFill>
                        <pic:spPr>
                          <a:xfrm>
                            <a:off x="0" y="0"/>
                            <a:ext cx="2461533" cy="1846152"/>
                          </a:xfrm>
                          <a:prstGeom prst="rect">
                            <a:avLst/>
                          </a:prstGeom>
                        </pic:spPr>
                      </pic:pic>
                    </a:graphicData>
                  </a:graphic>
                </wp:inline>
              </w:drawing>
            </w:r>
          </w:p>
          <w:p w:rsidR="00AB6F0C" w:rsidRPr="00D166AC" w:rsidRDefault="00AB6F0C" w:rsidP="00D166AC"/>
        </w:tc>
        <w:tc>
          <w:tcPr>
            <w:tcW w:w="4583" w:type="dxa"/>
            <w:gridSpan w:val="2"/>
          </w:tcPr>
          <w:p w:rsidR="00180D64" w:rsidRPr="00180D64" w:rsidRDefault="00321AC7" w:rsidP="00180D64">
            <w:pPr>
              <w:pStyle w:val="berschrift3"/>
              <w:outlineLvl w:val="2"/>
            </w:pPr>
            <w:r>
              <w:t>Concept de commande SPECTIVE</w:t>
            </w:r>
          </w:p>
          <w:p w:rsidR="00D166AC" w:rsidRPr="00857D92" w:rsidRDefault="00081531" w:rsidP="00321AC7">
            <w:pPr>
              <w:pStyle w:val="Text"/>
              <w:jc w:val="left"/>
              <w:rPr>
                <w:sz w:val="20"/>
              </w:rPr>
            </w:pPr>
            <w:r>
              <w:t xml:space="preserve">L'écran tactile 12 pouces intuitif facilite le travail sur la machine. Toutes les fonctions sont reconnaissables d'un seul coup d’œil ; des symboles clairs guident l'utilisateur. </w:t>
            </w:r>
          </w:p>
        </w:tc>
      </w:tr>
      <w:tr w:rsidR="007E3D03" w:rsidTr="007E3D03">
        <w:trPr>
          <w:tblCellSpacing w:w="71" w:type="dxa"/>
        </w:trPr>
        <w:tc>
          <w:tcPr>
            <w:tcW w:w="4799" w:type="dxa"/>
            <w:gridSpan w:val="3"/>
            <w:tcBorders>
              <w:right w:val="single" w:sz="4" w:space="0" w:color="auto"/>
            </w:tcBorders>
          </w:tcPr>
          <w:p w:rsidR="007E3D03" w:rsidRPr="00D166AC" w:rsidRDefault="00ED1B0F" w:rsidP="00993F07">
            <w:r>
              <w:rPr>
                <w:noProof/>
                <w:lang w:val="de-DE" w:eastAsia="de-DE"/>
              </w:rPr>
              <w:drawing>
                <wp:inline distT="0" distB="0" distL="0" distR="0" wp14:anchorId="70BFB1CF" wp14:editId="051552EE">
                  <wp:extent cx="2813606" cy="159026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visual_noise.jpg"/>
                          <pic:cNvPicPr/>
                        </pic:nvPicPr>
                        <pic:blipFill rotWithShape="1">
                          <a:blip r:embed="rId9" cstate="print">
                            <a:extLst>
                              <a:ext uri="{28A0092B-C50C-407E-A947-70E740481C1C}">
                                <a14:useLocalDpi xmlns:a14="http://schemas.microsoft.com/office/drawing/2010/main"/>
                              </a:ext>
                            </a:extLst>
                          </a:blip>
                          <a:srcRect r="-2313"/>
                          <a:stretch/>
                        </pic:blipFill>
                        <pic:spPr bwMode="auto">
                          <a:xfrm>
                            <a:off x="0" y="0"/>
                            <a:ext cx="2827827" cy="1598298"/>
                          </a:xfrm>
                          <a:prstGeom prst="rect">
                            <a:avLst/>
                          </a:prstGeom>
                          <a:ln>
                            <a:noFill/>
                          </a:ln>
                          <a:extLst>
                            <a:ext uri="{53640926-AAD7-44D8-BBD7-CCE9431645EC}">
                              <a14:shadowObscured xmlns:a14="http://schemas.microsoft.com/office/drawing/2010/main"/>
                            </a:ext>
                          </a:extLst>
                        </pic:spPr>
                      </pic:pic>
                    </a:graphicData>
                  </a:graphic>
                </wp:inline>
              </w:drawing>
            </w:r>
          </w:p>
        </w:tc>
        <w:tc>
          <w:tcPr>
            <w:tcW w:w="4583" w:type="dxa"/>
            <w:gridSpan w:val="2"/>
          </w:tcPr>
          <w:p w:rsidR="007E3D03" w:rsidRPr="00180D64" w:rsidRDefault="00321AC7" w:rsidP="00993F07">
            <w:pPr>
              <w:pStyle w:val="berschrift3"/>
              <w:outlineLvl w:val="2"/>
            </w:pPr>
            <w:r>
              <w:t>Pack en option pour réduction des bruits</w:t>
            </w:r>
          </w:p>
          <w:p w:rsidR="007E3D03" w:rsidRPr="00857D92" w:rsidRDefault="00321AC7" w:rsidP="00321AC7">
            <w:pPr>
              <w:pStyle w:val="Text"/>
              <w:jc w:val="left"/>
              <w:rPr>
                <w:sz w:val="20"/>
              </w:rPr>
            </w:pPr>
            <w:r>
              <w:t xml:space="preserve">Des volets d'insonorisation et un plancher d'organes fermé permettent de travailler à proximité de la machine dans un environnement moins bruyant. </w:t>
            </w:r>
          </w:p>
        </w:tc>
      </w:tr>
      <w:tr w:rsidR="00ED1B0F" w:rsidTr="007E3D03">
        <w:trPr>
          <w:tblCellSpacing w:w="71" w:type="dxa"/>
        </w:trPr>
        <w:tc>
          <w:tcPr>
            <w:tcW w:w="4799" w:type="dxa"/>
            <w:gridSpan w:val="3"/>
            <w:tcBorders>
              <w:right w:val="single" w:sz="4" w:space="0" w:color="auto"/>
            </w:tcBorders>
          </w:tcPr>
          <w:p w:rsidR="00ED1B0F" w:rsidRDefault="008D0EB3" w:rsidP="00993F07">
            <w:pPr>
              <w:rPr>
                <w:noProof/>
                <w:lang w:eastAsia="de-DE"/>
              </w:rPr>
            </w:pPr>
            <w:r>
              <w:rPr>
                <w:noProof/>
                <w:lang w:val="de-DE" w:eastAsia="de-DE"/>
              </w:rPr>
              <mc:AlternateContent>
                <mc:Choice Requires="wps">
                  <w:drawing>
                    <wp:anchor distT="0" distB="0" distL="114300" distR="114300" simplePos="0" relativeHeight="251659264" behindDoc="0" locked="0" layoutInCell="1" allowOverlap="1">
                      <wp:simplePos x="0" y="0"/>
                      <wp:positionH relativeFrom="column">
                        <wp:posOffset>3076244</wp:posOffset>
                      </wp:positionH>
                      <wp:positionV relativeFrom="paragraph">
                        <wp:posOffset>189672</wp:posOffset>
                      </wp:positionV>
                      <wp:extent cx="111318" cy="1256306"/>
                      <wp:effectExtent l="0" t="0" r="22225" b="20320"/>
                      <wp:wrapNone/>
                      <wp:docPr id="17" name="Rechteck 17"/>
                      <wp:cNvGraphicFramePr/>
                      <a:graphic xmlns:a="http://schemas.openxmlformats.org/drawingml/2006/main">
                        <a:graphicData uri="http://schemas.microsoft.com/office/word/2010/wordprocessingShape">
                          <wps:wsp>
                            <wps:cNvSpPr/>
                            <wps:spPr>
                              <a:xfrm>
                                <a:off x="0" y="0"/>
                                <a:ext cx="111318" cy="125630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BB4F50" id="Rechteck 17" o:spid="_x0000_s1026" style="position:absolute;margin-left:242.2pt;margin-top:14.95pt;width:8.75pt;height:98.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" fillcolor="white [3212]" strokecolor="white [3212]" strokeweight="2pt"/>
                  </w:pict>
                </mc:Fallback>
              </mc:AlternateContent>
            </w:r>
          </w:p>
        </w:tc>
        <w:tc>
          <w:tcPr>
            <w:tcW w:w="4583" w:type="dxa"/>
            <w:gridSpan w:val="2"/>
          </w:tcPr>
          <w:p w:rsidR="00ED1B0F" w:rsidRDefault="00ED1B0F" w:rsidP="00993F07">
            <w:pPr>
              <w:pStyle w:val="berschrift3"/>
              <w:outlineLvl w:val="2"/>
            </w:pPr>
          </w:p>
          <w:p w:rsidR="008D0EB3" w:rsidRDefault="008D0EB3" w:rsidP="00993F07">
            <w:pPr>
              <w:pStyle w:val="berschrift3"/>
              <w:outlineLvl w:val="2"/>
            </w:pPr>
            <w:bookmarkStart w:id="0" w:name="_GoBack"/>
            <w:r>
              <w:rPr>
                <w:noProof/>
                <w:lang w:val="de-DE" w:eastAsia="de-DE"/>
              </w:rPr>
              <w:lastRenderedPageBreak/>
              <w:drawing>
                <wp:anchor distT="0" distB="0" distL="114300" distR="114300" simplePos="0" relativeHeight="251658240" behindDoc="0" locked="0" layoutInCell="1" allowOverlap="1" wp14:anchorId="291EDC0A" wp14:editId="1FEC3849">
                  <wp:simplePos x="0" y="0"/>
                  <wp:positionH relativeFrom="column">
                    <wp:posOffset>-3139693</wp:posOffset>
                  </wp:positionH>
                  <wp:positionV relativeFrom="paragraph">
                    <wp:posOffset>86360</wp:posOffset>
                  </wp:positionV>
                  <wp:extent cx="2567811" cy="1711325"/>
                  <wp:effectExtent l="0" t="0" r="4445" b="317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emann_lock_turn_Schritt_6.jpg"/>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567811" cy="1711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p>
          <w:p w:rsidR="00ED1B0F" w:rsidRDefault="00321AC7" w:rsidP="00993F07">
            <w:pPr>
              <w:pStyle w:val="berschrift3"/>
              <w:outlineLvl w:val="2"/>
            </w:pPr>
            <w:r>
              <w:t xml:space="preserve">Système de sécurité "Lock &amp; Turn" </w:t>
            </w:r>
          </w:p>
          <w:p w:rsidR="00321AC7" w:rsidRDefault="00321AC7" w:rsidP="00321AC7">
            <w:pPr>
              <w:pStyle w:val="Text"/>
            </w:pPr>
            <w:r>
              <w:t xml:space="preserve">Le système "Lock &amp; Turn" assure un haut niveau de sécurité pour le remplacement des battoirs ou l'élimination de bourrages. </w:t>
            </w:r>
          </w:p>
          <w:p w:rsidR="00321AC7" w:rsidRDefault="00321AC7" w:rsidP="00321AC7">
            <w:pPr>
              <w:pStyle w:val="Text"/>
            </w:pPr>
          </w:p>
          <w:p w:rsidR="00321AC7" w:rsidRDefault="00321AC7" w:rsidP="00321AC7">
            <w:pPr>
              <w:pStyle w:val="Text"/>
            </w:pPr>
          </w:p>
          <w:p w:rsidR="00321AC7" w:rsidRDefault="00321AC7" w:rsidP="00321AC7">
            <w:pPr>
              <w:pStyle w:val="Text"/>
            </w:pPr>
          </w:p>
          <w:p w:rsidR="00321AC7" w:rsidRPr="00ED1B0F" w:rsidRDefault="00321AC7" w:rsidP="00321AC7">
            <w:pPr>
              <w:pStyle w:val="Text"/>
            </w:pPr>
          </w:p>
          <w:p w:rsidR="00ED1B0F" w:rsidRPr="00ED1B0F" w:rsidRDefault="00ED1B0F" w:rsidP="00ED1B0F">
            <w:pPr>
              <w:pStyle w:val="Text"/>
            </w:pPr>
          </w:p>
        </w:tc>
      </w:tr>
      <w:tr w:rsidR="00D166AC" w:rsidTr="007E3D03">
        <w:tblPrEx>
          <w:tblCellSpacing w:w="0" w:type="nil"/>
        </w:tblPrEx>
        <w:trPr>
          <w:gridBefore w:val="1"/>
          <w:gridAfter w:val="1"/>
          <w:wAfter w:w="5" w:type="dxa"/>
        </w:trPr>
        <w:tc>
          <w:tcPr>
            <w:tcW w:w="4658" w:type="dxa"/>
          </w:tcPr>
          <w:p w:rsidR="00AB6F0C" w:rsidRPr="00AB6F0C" w:rsidRDefault="00AB6F0C" w:rsidP="00AB6F0C">
            <w:pPr>
              <w:pStyle w:val="Text"/>
            </w:pPr>
          </w:p>
          <w:p w:rsidR="008D0EB3" w:rsidRDefault="008D0EB3" w:rsidP="00180D64">
            <w:pPr>
              <w:pStyle w:val="HeadlineKontakte"/>
              <w:rPr>
                <w:rFonts w:ascii="Verdana" w:eastAsia="Calibri" w:hAnsi="Verdana" w:cs="Times New Roman"/>
                <w:caps w:val="0"/>
                <w:szCs w:val="22"/>
              </w:rPr>
            </w:pPr>
          </w:p>
          <w:p w:rsidR="008D0EB3" w:rsidRDefault="008D0EB3" w:rsidP="00180D64">
            <w:pPr>
              <w:pStyle w:val="HeadlineKontakte"/>
              <w:rPr>
                <w:rFonts w:ascii="Verdana" w:eastAsia="Calibri" w:hAnsi="Verdana" w:cs="Times New Roman"/>
                <w:caps w:val="0"/>
                <w:szCs w:val="22"/>
              </w:rPr>
            </w:pPr>
          </w:p>
          <w:p w:rsidR="00180D64" w:rsidRPr="00566231" w:rsidRDefault="00566231" w:rsidP="00180D64">
            <w:pPr>
              <w:pStyle w:val="HeadlineKontakte"/>
              <w:rPr>
                <w:szCs w:val="22"/>
              </w:rPr>
            </w:pPr>
            <w:r>
              <w:rPr>
                <w:rFonts w:ascii="Verdana" w:eastAsia="Calibri" w:hAnsi="Verdana" w:cs="Times New Roman"/>
                <w:caps w:val="0"/>
              </w:rPr>
              <w:t>Pour plus d'informations</w:t>
            </w:r>
            <w:r>
              <w:rPr>
                <w:b w:val="0"/>
              </w:rPr>
              <w:t xml:space="preserve"> </w:t>
            </w:r>
          </w:p>
          <w:p w:rsidR="00180D64" w:rsidRPr="00566231" w:rsidRDefault="00566231" w:rsidP="00180D64">
            <w:pPr>
              <w:pStyle w:val="HeadlineKontakte"/>
              <w:rPr>
                <w:szCs w:val="22"/>
              </w:rPr>
            </w:pPr>
            <w:r>
              <w:rPr>
                <w:rFonts w:ascii="Verdana" w:eastAsia="Calibri" w:hAnsi="Verdana" w:cs="Times New Roman"/>
                <w:caps w:val="0"/>
              </w:rPr>
              <w:t>adressez-vous à </w:t>
            </w:r>
            <w:r>
              <w:t>:</w:t>
            </w:r>
          </w:p>
          <w:p w:rsidR="00180D64" w:rsidRPr="00180D64" w:rsidRDefault="00180D64" w:rsidP="00180D64">
            <w:pPr>
              <w:pStyle w:val="Text"/>
            </w:pPr>
            <w:r>
              <w:t>KLEEMANN GmbH</w:t>
            </w:r>
          </w:p>
          <w:p w:rsidR="00180D64" w:rsidRPr="00180D64" w:rsidRDefault="00180D64" w:rsidP="00180D64">
            <w:pPr>
              <w:pStyle w:val="Text"/>
            </w:pPr>
            <w:r>
              <w:t>Mark Hezinger</w:t>
            </w:r>
          </w:p>
          <w:p w:rsidR="00180D64" w:rsidRPr="00180D64" w:rsidRDefault="00180D64" w:rsidP="00180D64">
            <w:pPr>
              <w:pStyle w:val="Text"/>
            </w:pPr>
            <w:r>
              <w:t>Manfred-Wörner-Straße 160</w:t>
            </w:r>
          </w:p>
          <w:p w:rsidR="00180D64" w:rsidRPr="00180D64" w:rsidRDefault="00180D64" w:rsidP="00180D64">
            <w:pPr>
              <w:pStyle w:val="Text"/>
            </w:pPr>
            <w:r>
              <w:t>73037 Göppingen</w:t>
            </w:r>
          </w:p>
          <w:p w:rsidR="00180D64" w:rsidRPr="00180D64" w:rsidRDefault="00180D64" w:rsidP="00180D64">
            <w:pPr>
              <w:pStyle w:val="Text"/>
            </w:pPr>
            <w:r>
              <w:t>Allemagne</w:t>
            </w:r>
          </w:p>
          <w:p w:rsidR="00180D64" w:rsidRPr="00180D64" w:rsidRDefault="00180D64" w:rsidP="00180D64">
            <w:pPr>
              <w:pStyle w:val="Text"/>
            </w:pPr>
          </w:p>
          <w:p w:rsidR="00180D64" w:rsidRPr="00180D64" w:rsidRDefault="003A528F" w:rsidP="00180D64">
            <w:pPr>
              <w:pStyle w:val="Text"/>
            </w:pPr>
            <w:r>
              <w:t>Téléphone : +49 (0) 7161 206-0</w:t>
            </w:r>
          </w:p>
          <w:p w:rsidR="00180D64" w:rsidRPr="00180D64" w:rsidRDefault="00E87341" w:rsidP="00180D64">
            <w:pPr>
              <w:pStyle w:val="Text"/>
            </w:pPr>
            <w:r>
              <w:t>E-mail : mark.hezinger@kleemann.info</w:t>
            </w:r>
          </w:p>
          <w:p w:rsidR="00D166AC" w:rsidRPr="00180D64" w:rsidRDefault="00180D64" w:rsidP="00180D64">
            <w:pPr>
              <w:pStyle w:val="Text"/>
            </w:pPr>
            <w:r>
              <w:t>www.kleemann.info</w:t>
            </w:r>
          </w:p>
        </w:tc>
        <w:tc>
          <w:tcPr>
            <w:tcW w:w="4582" w:type="dxa"/>
            <w:gridSpan w:val="2"/>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D82" w:rsidRDefault="001F3D82" w:rsidP="00E55534">
      <w:r>
        <w:separator/>
      </w:r>
    </w:p>
  </w:endnote>
  <w:endnote w:type="continuationSeparator" w:id="0">
    <w:p w:rsidR="001F3D82" w:rsidRDefault="001F3D8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A36AD">
                    <w:rPr>
                      <w:noProof/>
                    </w:rPr>
                    <w:t>01</w:t>
                  </w:r>
                  <w:r w:rsidRPr="008C2DB2">
                    <w:fldChar w:fldCharType="end"/>
                  </w:r>
                </w:p>
              </w:sdtContent>
            </w:sdt>
          </w:tc>
        </w:tr>
      </w:sdtContent>
    </w:sdt>
  </w:tbl>
  <w:sdt>
    <w:sdtPr>
      <w:id w:val="-958642266"/>
      <w:lock w:val="sdtContentLocked"/>
    </w:sdtPr>
    <w:sdtEndPr/>
    <w:sdtContent>
      <w:p w:rsidR="00A171F4" w:rsidRDefault="005A32B6">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1413D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004e9e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Tél. : +49 26 45 / 131 0</w:t>
              </w:r>
            </w:p>
          </w:tc>
        </w:tr>
      </w:sdtContent>
    </w:sdt>
  </w:tbl>
  <w:sdt>
    <w:sdtPr>
      <w:id w:val="-1944752626"/>
      <w:lock w:val="sdtContentLocked"/>
    </w:sdtPr>
    <w:sdtEndPr/>
    <w:sdtContent>
      <w:p w:rsidR="00A171F4" w:rsidRDefault="005A32B6">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20B293"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004e9e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D82" w:rsidRDefault="001F3D82" w:rsidP="00E55534">
      <w:r>
        <w:separator/>
      </w:r>
    </w:p>
  </w:footnote>
  <w:footnote w:type="continuationSeparator" w:id="0">
    <w:p w:rsidR="001F3D82" w:rsidRDefault="001F3D8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5A32B6">
        <w:pPr>
          <w:pStyle w:val="Kopfzeile"/>
          <w:rPr>
            <w:noProof/>
            <w:sz w:val="14"/>
            <w:lang w:eastAsia="de-DE"/>
          </w:rPr>
        </w:pPr>
        <w:r>
          <w:rPr>
            <w:noProof/>
            <w:lang w:val="de-DE" w:eastAsia="de-DE"/>
          </w:rPr>
          <w:drawing>
            <wp:anchor distT="0" distB="0" distL="114300" distR="114300" simplePos="0" relativeHeight="251672576" behindDoc="0" locked="0" layoutInCell="1" allowOverlap="1" wp14:anchorId="646E91CC" wp14:editId="00DC34C0">
              <wp:simplePos x="0" y="0"/>
              <wp:positionH relativeFrom="page">
                <wp:posOffset>756285</wp:posOffset>
              </wp:positionH>
              <wp:positionV relativeFrom="page">
                <wp:posOffset>288290</wp:posOffset>
              </wp:positionV>
              <wp:extent cx="18900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00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Pr>
                  <w:sz w:val="32"/>
                </w:rPr>
                <w:t>COMMUNIQUÉ DE</w:t>
              </w:r>
              <w:r>
                <w:rPr>
                  <w:b w:val="0"/>
                  <w:sz w:val="32"/>
                </w:rPr>
                <w:t xml:space="preserve"> </w:t>
              </w:r>
              <w:r>
                <w:rPr>
                  <w:sz w:val="32"/>
                </w:rPr>
                <w:t>PRESSE</w:t>
              </w:r>
            </w:p>
          </w:tc>
        </w:tr>
      </w:tbl>
      <w:p w:rsidR="00A171F4" w:rsidRPr="002E765F" w:rsidRDefault="005A32B6">
        <w:pPr>
          <w:pStyle w:val="Kopfzeile"/>
          <w:rPr>
            <w:sz w:val="14"/>
          </w:rPr>
        </w:pPr>
        <w:r>
          <w:rPr>
            <w:noProof/>
            <w:lang w:val="de-DE" w:eastAsia="de-DE"/>
          </w:rPr>
          <w:drawing>
            <wp:anchor distT="0" distB="0" distL="114300" distR="114300" simplePos="0" relativeHeight="251666432" behindDoc="0" locked="0" layoutInCell="1" allowOverlap="1" wp14:anchorId="1AE063F9" wp14:editId="2D68001B">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8480" behindDoc="0" locked="0" layoutInCell="1" allowOverlap="1" wp14:anchorId="09D8D714" wp14:editId="5EBFCC2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C10612"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004e9e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5A32B6">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F4C21D"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004e9e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66"/>
    <w:rsid w:val="00034477"/>
    <w:rsid w:val="00035D05"/>
    <w:rsid w:val="00042106"/>
    <w:rsid w:val="00050436"/>
    <w:rsid w:val="00051ADF"/>
    <w:rsid w:val="0005285B"/>
    <w:rsid w:val="00055F85"/>
    <w:rsid w:val="00066D09"/>
    <w:rsid w:val="00081531"/>
    <w:rsid w:val="000853E3"/>
    <w:rsid w:val="000920DC"/>
    <w:rsid w:val="0009665C"/>
    <w:rsid w:val="00097B52"/>
    <w:rsid w:val="000A576B"/>
    <w:rsid w:val="000A779E"/>
    <w:rsid w:val="000B2E47"/>
    <w:rsid w:val="000F05D5"/>
    <w:rsid w:val="001015E3"/>
    <w:rsid w:val="00101D3E"/>
    <w:rsid w:val="00103205"/>
    <w:rsid w:val="00104FF7"/>
    <w:rsid w:val="00105274"/>
    <w:rsid w:val="00105543"/>
    <w:rsid w:val="00117C7A"/>
    <w:rsid w:val="0012026F"/>
    <w:rsid w:val="00121543"/>
    <w:rsid w:val="00130621"/>
    <w:rsid w:val="00132055"/>
    <w:rsid w:val="00140F5E"/>
    <w:rsid w:val="00143E6C"/>
    <w:rsid w:val="00144892"/>
    <w:rsid w:val="00152E32"/>
    <w:rsid w:val="00153279"/>
    <w:rsid w:val="00157EEA"/>
    <w:rsid w:val="00174ABB"/>
    <w:rsid w:val="00180D64"/>
    <w:rsid w:val="001A1CD3"/>
    <w:rsid w:val="001A6B66"/>
    <w:rsid w:val="001B16BB"/>
    <w:rsid w:val="001D4FD3"/>
    <w:rsid w:val="001D7B46"/>
    <w:rsid w:val="001F05EE"/>
    <w:rsid w:val="001F3D82"/>
    <w:rsid w:val="002037B4"/>
    <w:rsid w:val="00210F40"/>
    <w:rsid w:val="00232568"/>
    <w:rsid w:val="0024189E"/>
    <w:rsid w:val="00253A2E"/>
    <w:rsid w:val="00271860"/>
    <w:rsid w:val="00271A9A"/>
    <w:rsid w:val="00272B26"/>
    <w:rsid w:val="0029115B"/>
    <w:rsid w:val="0029634D"/>
    <w:rsid w:val="002A1BDF"/>
    <w:rsid w:val="002B0EDD"/>
    <w:rsid w:val="002E765F"/>
    <w:rsid w:val="002F108B"/>
    <w:rsid w:val="002F2F07"/>
    <w:rsid w:val="00300484"/>
    <w:rsid w:val="003055EF"/>
    <w:rsid w:val="003113A0"/>
    <w:rsid w:val="00314852"/>
    <w:rsid w:val="00321AC7"/>
    <w:rsid w:val="00332A0E"/>
    <w:rsid w:val="003350A1"/>
    <w:rsid w:val="0034191A"/>
    <w:rsid w:val="00343CC7"/>
    <w:rsid w:val="00345994"/>
    <w:rsid w:val="003633B4"/>
    <w:rsid w:val="00384A08"/>
    <w:rsid w:val="00384D56"/>
    <w:rsid w:val="003911E6"/>
    <w:rsid w:val="003A1934"/>
    <w:rsid w:val="003A528F"/>
    <w:rsid w:val="003A753A"/>
    <w:rsid w:val="003C1FDE"/>
    <w:rsid w:val="003D0842"/>
    <w:rsid w:val="003D20B3"/>
    <w:rsid w:val="003E1CB6"/>
    <w:rsid w:val="003E3CF6"/>
    <w:rsid w:val="003E759F"/>
    <w:rsid w:val="00403373"/>
    <w:rsid w:val="00406C81"/>
    <w:rsid w:val="004073BF"/>
    <w:rsid w:val="00412545"/>
    <w:rsid w:val="00415E89"/>
    <w:rsid w:val="00427BF6"/>
    <w:rsid w:val="00430BB0"/>
    <w:rsid w:val="00440883"/>
    <w:rsid w:val="0046512A"/>
    <w:rsid w:val="00467457"/>
    <w:rsid w:val="004A55FF"/>
    <w:rsid w:val="004B734A"/>
    <w:rsid w:val="004C4BFA"/>
    <w:rsid w:val="004E1746"/>
    <w:rsid w:val="004F2C4E"/>
    <w:rsid w:val="004F435C"/>
    <w:rsid w:val="00504129"/>
    <w:rsid w:val="00506409"/>
    <w:rsid w:val="005151F7"/>
    <w:rsid w:val="00530E32"/>
    <w:rsid w:val="0054301D"/>
    <w:rsid w:val="005458B8"/>
    <w:rsid w:val="00560112"/>
    <w:rsid w:val="00566231"/>
    <w:rsid w:val="005711A3"/>
    <w:rsid w:val="00573B2B"/>
    <w:rsid w:val="005828A3"/>
    <w:rsid w:val="005A32B6"/>
    <w:rsid w:val="005A4F04"/>
    <w:rsid w:val="005B5793"/>
    <w:rsid w:val="005C3C19"/>
    <w:rsid w:val="005D6D8F"/>
    <w:rsid w:val="006016DA"/>
    <w:rsid w:val="006330A2"/>
    <w:rsid w:val="00633530"/>
    <w:rsid w:val="00642EB6"/>
    <w:rsid w:val="006602B7"/>
    <w:rsid w:val="00674134"/>
    <w:rsid w:val="006A4F8A"/>
    <w:rsid w:val="006B5ED8"/>
    <w:rsid w:val="006F7602"/>
    <w:rsid w:val="006F7A3E"/>
    <w:rsid w:val="00702BAA"/>
    <w:rsid w:val="00704234"/>
    <w:rsid w:val="007154F8"/>
    <w:rsid w:val="00721606"/>
    <w:rsid w:val="00722A17"/>
    <w:rsid w:val="0073326D"/>
    <w:rsid w:val="00733B2B"/>
    <w:rsid w:val="007506E4"/>
    <w:rsid w:val="00757B83"/>
    <w:rsid w:val="00761639"/>
    <w:rsid w:val="007700EB"/>
    <w:rsid w:val="00773A24"/>
    <w:rsid w:val="00775BD4"/>
    <w:rsid w:val="00777B34"/>
    <w:rsid w:val="00791A69"/>
    <w:rsid w:val="00794830"/>
    <w:rsid w:val="00797CAA"/>
    <w:rsid w:val="007A207C"/>
    <w:rsid w:val="007A36AD"/>
    <w:rsid w:val="007B0317"/>
    <w:rsid w:val="007C0780"/>
    <w:rsid w:val="007C2658"/>
    <w:rsid w:val="007C30C8"/>
    <w:rsid w:val="007C7244"/>
    <w:rsid w:val="007D0D68"/>
    <w:rsid w:val="007E20D0"/>
    <w:rsid w:val="007E3D03"/>
    <w:rsid w:val="008035E8"/>
    <w:rsid w:val="00820315"/>
    <w:rsid w:val="00827C81"/>
    <w:rsid w:val="0083402C"/>
    <w:rsid w:val="00843B45"/>
    <w:rsid w:val="008440AC"/>
    <w:rsid w:val="008467E5"/>
    <w:rsid w:val="00857D92"/>
    <w:rsid w:val="00863129"/>
    <w:rsid w:val="00863DF2"/>
    <w:rsid w:val="008849B9"/>
    <w:rsid w:val="008930F5"/>
    <w:rsid w:val="008A175D"/>
    <w:rsid w:val="008A6553"/>
    <w:rsid w:val="008B53BF"/>
    <w:rsid w:val="008B7CFB"/>
    <w:rsid w:val="008C2DB2"/>
    <w:rsid w:val="008D0EB3"/>
    <w:rsid w:val="008D1DB2"/>
    <w:rsid w:val="008D770E"/>
    <w:rsid w:val="008F2625"/>
    <w:rsid w:val="00902EFB"/>
    <w:rsid w:val="0090337E"/>
    <w:rsid w:val="00954387"/>
    <w:rsid w:val="00962DCF"/>
    <w:rsid w:val="0097480E"/>
    <w:rsid w:val="009867AC"/>
    <w:rsid w:val="009A45BB"/>
    <w:rsid w:val="009B3F84"/>
    <w:rsid w:val="009B6BFA"/>
    <w:rsid w:val="009C09E5"/>
    <w:rsid w:val="009C2378"/>
    <w:rsid w:val="009C3F33"/>
    <w:rsid w:val="009D016F"/>
    <w:rsid w:val="009D7ABD"/>
    <w:rsid w:val="009E251D"/>
    <w:rsid w:val="00A03749"/>
    <w:rsid w:val="00A03B08"/>
    <w:rsid w:val="00A0504E"/>
    <w:rsid w:val="00A171F4"/>
    <w:rsid w:val="00A24EFC"/>
    <w:rsid w:val="00A344B2"/>
    <w:rsid w:val="00A35FE6"/>
    <w:rsid w:val="00A45582"/>
    <w:rsid w:val="00A51B98"/>
    <w:rsid w:val="00A543C8"/>
    <w:rsid w:val="00A67740"/>
    <w:rsid w:val="00A85EDD"/>
    <w:rsid w:val="00A860BC"/>
    <w:rsid w:val="00A86C96"/>
    <w:rsid w:val="00A97104"/>
    <w:rsid w:val="00A977CE"/>
    <w:rsid w:val="00AA2458"/>
    <w:rsid w:val="00AB6F0C"/>
    <w:rsid w:val="00AC2D79"/>
    <w:rsid w:val="00AD131F"/>
    <w:rsid w:val="00AF3B3A"/>
    <w:rsid w:val="00AF6569"/>
    <w:rsid w:val="00B06265"/>
    <w:rsid w:val="00B1437A"/>
    <w:rsid w:val="00B259C1"/>
    <w:rsid w:val="00B4683F"/>
    <w:rsid w:val="00B67C68"/>
    <w:rsid w:val="00B90F78"/>
    <w:rsid w:val="00B95E35"/>
    <w:rsid w:val="00BB1DCB"/>
    <w:rsid w:val="00BB4839"/>
    <w:rsid w:val="00BC33D6"/>
    <w:rsid w:val="00BC42BA"/>
    <w:rsid w:val="00BD1058"/>
    <w:rsid w:val="00BF2700"/>
    <w:rsid w:val="00BF56B2"/>
    <w:rsid w:val="00C023D9"/>
    <w:rsid w:val="00C04AC8"/>
    <w:rsid w:val="00C14602"/>
    <w:rsid w:val="00C234B1"/>
    <w:rsid w:val="00C457C3"/>
    <w:rsid w:val="00C52084"/>
    <w:rsid w:val="00C644CA"/>
    <w:rsid w:val="00C660B9"/>
    <w:rsid w:val="00C7003B"/>
    <w:rsid w:val="00C73005"/>
    <w:rsid w:val="00C7733B"/>
    <w:rsid w:val="00C953A1"/>
    <w:rsid w:val="00C96107"/>
    <w:rsid w:val="00CA075B"/>
    <w:rsid w:val="00CA362F"/>
    <w:rsid w:val="00CB184F"/>
    <w:rsid w:val="00CB6CCA"/>
    <w:rsid w:val="00CC2E4B"/>
    <w:rsid w:val="00CC409D"/>
    <w:rsid w:val="00CC5715"/>
    <w:rsid w:val="00CD1989"/>
    <w:rsid w:val="00CD214F"/>
    <w:rsid w:val="00CD2FF2"/>
    <w:rsid w:val="00CE0EA5"/>
    <w:rsid w:val="00CE24A2"/>
    <w:rsid w:val="00CF36C9"/>
    <w:rsid w:val="00CF7A69"/>
    <w:rsid w:val="00D002B4"/>
    <w:rsid w:val="00D166AC"/>
    <w:rsid w:val="00D16B46"/>
    <w:rsid w:val="00D206FE"/>
    <w:rsid w:val="00D516D8"/>
    <w:rsid w:val="00D55B05"/>
    <w:rsid w:val="00D62E38"/>
    <w:rsid w:val="00D8365E"/>
    <w:rsid w:val="00D85AB6"/>
    <w:rsid w:val="00DA7F00"/>
    <w:rsid w:val="00E14608"/>
    <w:rsid w:val="00E156A9"/>
    <w:rsid w:val="00E21E67"/>
    <w:rsid w:val="00E30EBF"/>
    <w:rsid w:val="00E52D70"/>
    <w:rsid w:val="00E55534"/>
    <w:rsid w:val="00E577AD"/>
    <w:rsid w:val="00E81D70"/>
    <w:rsid w:val="00E8406A"/>
    <w:rsid w:val="00E87341"/>
    <w:rsid w:val="00E914D1"/>
    <w:rsid w:val="00E946CD"/>
    <w:rsid w:val="00EB2BA6"/>
    <w:rsid w:val="00EB3710"/>
    <w:rsid w:val="00EC21C7"/>
    <w:rsid w:val="00ED1B0F"/>
    <w:rsid w:val="00EE3384"/>
    <w:rsid w:val="00EE4DE9"/>
    <w:rsid w:val="00EF01E1"/>
    <w:rsid w:val="00EF3047"/>
    <w:rsid w:val="00F073CF"/>
    <w:rsid w:val="00F20920"/>
    <w:rsid w:val="00F237D3"/>
    <w:rsid w:val="00F26A26"/>
    <w:rsid w:val="00F32212"/>
    <w:rsid w:val="00F376D5"/>
    <w:rsid w:val="00F3780A"/>
    <w:rsid w:val="00F466CC"/>
    <w:rsid w:val="00F56318"/>
    <w:rsid w:val="00F82525"/>
    <w:rsid w:val="00F96C19"/>
    <w:rsid w:val="00F97FEA"/>
    <w:rsid w:val="00FA144F"/>
    <w:rsid w:val="00FB3623"/>
    <w:rsid w:val="00FB41CF"/>
    <w:rsid w:val="00FB64A5"/>
    <w:rsid w:val="00FD7F09"/>
    <w:rsid w:val="00FE1BA1"/>
    <w:rsid w:val="00FE4F94"/>
    <w:rsid w:val="00FF52AE"/>
    <w:rsid w:val="00FF58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BCF28BD-5CD1-42C4-BF34-D02DD9D80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E3D0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004E9E" w:themeColor="text2"/>
      <w:sz w:val="18"/>
    </w:rPr>
  </w:style>
  <w:style w:type="character" w:customStyle="1" w:styleId="FuzeileZchn">
    <w:name w:val="Fußzeile Zchn"/>
    <w:basedOn w:val="Absatz-Standardschriftart"/>
    <w:link w:val="Fuzeile"/>
    <w:uiPriority w:val="99"/>
    <w:rsid w:val="00642EB6"/>
    <w:rPr>
      <w:color w:val="004E9E"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180D64"/>
    <w:pPr>
      <w:spacing w:line="600" w:lineRule="exact"/>
      <w:contextualSpacing/>
    </w:pPr>
    <w:rPr>
      <w:rFonts w:asciiTheme="majorHAnsi" w:eastAsiaTheme="majorEastAsia" w:hAnsiTheme="majorHAnsi" w:cstheme="majorBidi"/>
      <w:b/>
      <w:color w:val="004E9E" w:themeColor="text2"/>
      <w:sz w:val="40"/>
      <w:szCs w:val="52"/>
    </w:rPr>
  </w:style>
  <w:style w:type="character" w:customStyle="1" w:styleId="TitelZchn">
    <w:name w:val="Titel Zchn"/>
    <w:basedOn w:val="Absatz-Standardschriftart"/>
    <w:link w:val="Titel"/>
    <w:rsid w:val="00180D64"/>
    <w:rPr>
      <w:rFonts w:asciiTheme="majorHAnsi" w:eastAsiaTheme="majorEastAsia" w:hAnsiTheme="majorHAnsi" w:cstheme="majorBidi"/>
      <w:b/>
      <w:color w:val="004E9E" w:themeColor="text2"/>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9867AC"/>
    <w:pPr>
      <w:numPr>
        <w:numId w:val="22"/>
      </w:numPr>
      <w:spacing w:after="120" w:line="280" w:lineRule="atLeast"/>
      <w:contextualSpacing/>
    </w:pPr>
    <w:rPr>
      <w:sz w:val="22"/>
    </w:rPr>
  </w:style>
  <w:style w:type="paragraph" w:customStyle="1" w:styleId="Bulletpoint2">
    <w:name w:val="Bulletpoint 2"/>
    <w:basedOn w:val="Standard"/>
    <w:uiPriority w:val="5"/>
    <w:qFormat/>
    <w:rsid w:val="009867AC"/>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9867AC"/>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004E9E" w:themeColor="text2"/>
        <w:bottom w:val="single" w:sz="2" w:space="0" w:color="004E9E" w:themeColor="text2"/>
        <w:right w:val="single" w:sz="2" w:space="0" w:color="004E9E" w:themeColor="text2"/>
        <w:insideH w:val="single" w:sz="2" w:space="0" w:color="004E9E" w:themeColor="text2"/>
        <w:insideV w:val="single" w:sz="2" w:space="0" w:color="004E9E"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004E9E" w:themeColor="text2"/>
          <w:bottom w:val="single" w:sz="2" w:space="0" w:color="FFFFFF" w:themeColor="background1"/>
          <w:right w:val="single" w:sz="2" w:space="0" w:color="004E9E" w:themeColor="text2"/>
          <w:insideH w:val="single" w:sz="2" w:space="0" w:color="FFFFFF" w:themeColor="background1"/>
          <w:insideV w:val="single" w:sz="2" w:space="0" w:color="FFFFFF" w:themeColor="background1"/>
          <w:tl2br w:val="nil"/>
          <w:tr2bl w:val="nil"/>
        </w:tcBorders>
        <w:shd w:val="clear" w:color="auto" w:fill="004E9E"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Subtitel-Unterstrichen1">
    <w:name w:val="Subtitel-Unterstrichen1"/>
    <w:basedOn w:val="Standard"/>
    <w:qFormat/>
    <w:rsid w:val="00C953A1"/>
    <w:pPr>
      <w:pBdr>
        <w:bottom w:val="single" w:sz="12" w:space="1" w:color="auto"/>
      </w:pBdr>
      <w:spacing w:line="276" w:lineRule="auto"/>
      <w:contextualSpacing/>
    </w:pPr>
    <w:rPr>
      <w:rFonts w:ascii="Verdana" w:hAnsi="Verdana"/>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K:\V\VK\2-VK-INTERN\02_pr\08_Vorlagen_Wirtgen\PR_KLEEEMANN_Vorlage.dotx" TargetMode="External"/></Relationships>
</file>

<file path=word/theme/theme1.xml><?xml version="1.0" encoding="utf-8"?>
<a:theme xmlns:a="http://schemas.openxmlformats.org/drawingml/2006/main" name="Office Theme">
  <a:themeElements>
    <a:clrScheme name="Wirtgen_Kleemann">
      <a:dk1>
        <a:srgbClr val="41535D"/>
      </a:dk1>
      <a:lt1>
        <a:sysClr val="window" lastClr="FFFFFF"/>
      </a:lt1>
      <a:dk2>
        <a:srgbClr val="004E9E"/>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88B9BEEF-FC54-4935-9751-161B123F7C99}">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PR_KLEEEMANN_Vorlage</Template>
  <TotalTime>0</TotalTime>
  <Pages>3</Pages>
  <Words>672</Words>
  <Characters>4234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Kathrin</dc:creator>
  <cp:lastModifiedBy>Richetti Stella</cp:lastModifiedBy>
  <cp:revision>3</cp:revision>
  <cp:lastPrinted>2019-03-01T08:49:00Z</cp:lastPrinted>
  <dcterms:created xsi:type="dcterms:W3CDTF">2019-03-06T07:59:00Z</dcterms:created>
  <dcterms:modified xsi:type="dcterms:W3CDTF">2019-03-11T14:16:00Z</dcterms:modified>
</cp:coreProperties>
</file>