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E6C" w:rsidRPr="00ED1B0F" w:rsidRDefault="00ED1B0F" w:rsidP="00143E6C">
      <w:pPr>
        <w:rPr>
          <w:rFonts w:eastAsiaTheme="majorEastAsia" w:cstheme="majorBidi"/>
          <w:b/>
          <w:sz w:val="40"/>
          <w:szCs w:val="32"/>
        </w:rPr>
      </w:pPr>
      <w:r>
        <w:rPr>
          <w:rFonts w:eastAsiaTheme="majorEastAsia" w:cstheme="majorBidi"/>
          <w:b/>
          <w:sz w:val="40"/>
        </w:rPr>
        <w:t>Kleemann crushing and screening plants:</w:t>
      </w:r>
    </w:p>
    <w:p w:rsidR="00ED1B0F" w:rsidRPr="00ED1B0F" w:rsidRDefault="00ED1B0F" w:rsidP="00ED1B0F">
      <w:pPr>
        <w:rPr>
          <w:rFonts w:eastAsiaTheme="majorEastAsia" w:cstheme="majorBidi"/>
          <w:b/>
          <w:sz w:val="40"/>
          <w:szCs w:val="32"/>
        </w:rPr>
      </w:pPr>
      <w:r>
        <w:rPr>
          <w:rFonts w:eastAsiaTheme="majorEastAsia" w:cstheme="majorBidi"/>
          <w:b/>
          <w:sz w:val="40"/>
        </w:rPr>
        <w:t xml:space="preserve">Innovations for simple and safe operation  </w:t>
      </w:r>
    </w:p>
    <w:p w:rsidR="000A576B" w:rsidRDefault="000A576B" w:rsidP="000A576B">
      <w:pPr>
        <w:rPr>
          <w:rStyle w:val="Hervorhebung"/>
          <w:sz w:val="22"/>
        </w:rPr>
      </w:pPr>
    </w:p>
    <w:p w:rsidR="00ED1B0F" w:rsidRPr="00ED1B0F" w:rsidRDefault="00ED1B0F" w:rsidP="00ED1B0F">
      <w:pPr>
        <w:rPr>
          <w:rStyle w:val="Hervorhebung"/>
          <w:sz w:val="22"/>
        </w:rPr>
      </w:pPr>
      <w:r>
        <w:rPr>
          <w:rStyle w:val="Hervorhebung"/>
          <w:sz w:val="22"/>
        </w:rPr>
        <w:t xml:space="preserve">Modern crushing plants have become more and more complex as their requirements rise. At the same time, the technology must be safe and as simple as possible to operate – and without lengthy instruction and familiarisation periods. This is the challenge which faced Kleemann. At Bauma 2019 Kleemann will showcase innovative solutions for the safe and simple operation of crushing and screening plants. </w:t>
      </w:r>
    </w:p>
    <w:p w:rsidR="00A344B2" w:rsidRDefault="00A344B2" w:rsidP="008035E8">
      <w:pPr>
        <w:pStyle w:val="Text"/>
      </w:pPr>
    </w:p>
    <w:p w:rsidR="00ED1B0F" w:rsidRDefault="00ED1B0F" w:rsidP="00ED1B0F">
      <w:pPr>
        <w:rPr>
          <w:b/>
          <w:sz w:val="22"/>
          <w:szCs w:val="22"/>
        </w:rPr>
      </w:pPr>
      <w:r>
        <w:rPr>
          <w:b/>
          <w:sz w:val="22"/>
        </w:rPr>
        <w:t xml:space="preserve">Simple and comfortable operation </w:t>
      </w:r>
    </w:p>
    <w:p w:rsidR="00ED1B0F" w:rsidRPr="00ED1B0F" w:rsidRDefault="00ED1B0F" w:rsidP="00ED1B0F">
      <w:pPr>
        <w:rPr>
          <w:b/>
          <w:sz w:val="22"/>
          <w:szCs w:val="22"/>
        </w:rPr>
      </w:pPr>
    </w:p>
    <w:p w:rsidR="00ED1B0F" w:rsidRDefault="00ED1B0F" w:rsidP="00ED1B0F">
      <w:pPr>
        <w:rPr>
          <w:sz w:val="22"/>
          <w:szCs w:val="22"/>
        </w:rPr>
      </w:pPr>
      <w:r>
        <w:rPr>
          <w:sz w:val="22"/>
        </w:rPr>
        <w:t xml:space="preserve">The control system is the interface between man and machine. The entire PRO line and the MR 130 Z EVO2 impact crusher can be comfortably operated via the intuitive SPECTIVE control concept.  The 12" touch panel simplifies work as all functions are visible at a glance and clear symbols point the way. The user interface is not affected by dust, is splashproof and can be easily read in difficult lighting conditions. A simple menu guidance guarantees that only the information which is currently required is displayed on each page. This concept makes it possible to use the crushing plant properly in a simple manner and fully utilise its functions. </w:t>
      </w:r>
    </w:p>
    <w:p w:rsidR="00F376D5" w:rsidRDefault="00F376D5" w:rsidP="00ED1B0F">
      <w:pPr>
        <w:rPr>
          <w:sz w:val="22"/>
          <w:szCs w:val="22"/>
        </w:rPr>
      </w:pPr>
    </w:p>
    <w:p w:rsidR="00F376D5" w:rsidRPr="00F376D5" w:rsidRDefault="00F376D5" w:rsidP="00ED1B0F">
      <w:pPr>
        <w:rPr>
          <w:b/>
          <w:sz w:val="22"/>
          <w:szCs w:val="22"/>
        </w:rPr>
      </w:pPr>
      <w:r>
        <w:rPr>
          <w:b/>
          <w:sz w:val="22"/>
        </w:rPr>
        <w:t>Low-noise work close to the machine</w:t>
      </w:r>
    </w:p>
    <w:p w:rsidR="00ED1B0F" w:rsidRPr="00ED1B0F" w:rsidRDefault="00ED1B0F" w:rsidP="00ED1B0F">
      <w:pPr>
        <w:rPr>
          <w:sz w:val="22"/>
          <w:szCs w:val="22"/>
        </w:rPr>
      </w:pPr>
    </w:p>
    <w:p w:rsidR="00ED1B0F" w:rsidRPr="00ED1B0F" w:rsidRDefault="00ED1B0F" w:rsidP="00ED1B0F">
      <w:pPr>
        <w:rPr>
          <w:sz w:val="22"/>
          <w:szCs w:val="22"/>
        </w:rPr>
      </w:pPr>
      <w:r>
        <w:rPr>
          <w:sz w:val="22"/>
        </w:rPr>
        <w:t>The new option package for noise reduction ensures comfortable and safe work close to the impact crusher. Noise protection flaps mounted on the side at the same height as the engine deflect sound upwards. These flaps are folded in for transporting the plant and therefore have no impact on the transport width. The bottom of the unit is also sealed off from noise. The volume perceived by the user is reduced by six decibels. A reduction of three decibels has the effect of halving the amount of noise perceived by the human ear. This makes possible low-noise work in a significantly smaller area around the machine.</w:t>
      </w:r>
    </w:p>
    <w:p w:rsidR="000A576B" w:rsidRPr="000A576B" w:rsidRDefault="000A576B" w:rsidP="000A576B">
      <w:pPr>
        <w:rPr>
          <w:sz w:val="22"/>
          <w:szCs w:val="22"/>
        </w:rPr>
      </w:pPr>
    </w:p>
    <w:p w:rsidR="00ED1B0F" w:rsidRDefault="000853E3" w:rsidP="00ED1B0F">
      <w:pPr>
        <w:rPr>
          <w:b/>
        </w:rPr>
      </w:pPr>
      <w:r>
        <w:rPr>
          <w:b/>
          <w:sz w:val="22"/>
        </w:rPr>
        <w:t>Excellent accessibility and safety during maintenance work</w:t>
      </w:r>
      <w:r>
        <w:t xml:space="preserve"> </w:t>
      </w:r>
    </w:p>
    <w:p w:rsidR="00ED1B0F" w:rsidRPr="00C61EAB" w:rsidRDefault="00ED1B0F" w:rsidP="00ED1B0F">
      <w:pPr>
        <w:rPr>
          <w:b/>
        </w:rPr>
      </w:pPr>
    </w:p>
    <w:p w:rsidR="00055F85" w:rsidRDefault="00ED1B0F" w:rsidP="00ED1B0F">
      <w:pPr>
        <w:rPr>
          <w:sz w:val="22"/>
          <w:szCs w:val="22"/>
        </w:rPr>
      </w:pPr>
      <w:r>
        <w:rPr>
          <w:sz w:val="22"/>
        </w:rPr>
        <w:t xml:space="preserve">The clever design of the machines offers good access from all sides. Designed on the basis of the material flow, all components of the plant are easily accessible for the user. For example, it is possible to refuel the MCO 11 PRO cone crusher comfortably from the ground and the prescreen surfaces for the MR 110 and 130 Z EVO2 impact crushers can be easily changed via an extra platform. Other service work on the machine can also be completed quickly and comfortably thanks to the good accessibility.  </w:t>
      </w:r>
    </w:p>
    <w:p w:rsidR="00ED1B0F" w:rsidRPr="00ED1B0F" w:rsidRDefault="007700EB" w:rsidP="00ED1B0F">
      <w:pPr>
        <w:rPr>
          <w:sz w:val="22"/>
          <w:szCs w:val="22"/>
        </w:rPr>
      </w:pPr>
      <w:r>
        <w:rPr>
          <w:sz w:val="22"/>
        </w:rPr>
        <w:t xml:space="preserve"> </w:t>
      </w:r>
    </w:p>
    <w:p w:rsidR="00ED1B0F" w:rsidRPr="00ED1B0F" w:rsidRDefault="00ED1B0F" w:rsidP="00ED1B0F">
      <w:pPr>
        <w:rPr>
          <w:sz w:val="22"/>
          <w:szCs w:val="22"/>
        </w:rPr>
      </w:pPr>
      <w:r>
        <w:rPr>
          <w:sz w:val="22"/>
        </w:rPr>
        <w:t xml:space="preserve">The award-winning "Lock &amp; Turn" system provides the highest level of safety during rotor ledge change at the mobile impact crusher and when releasing bridging. Here special keys are used that only permit work in certain areas of the crusher. There the operator can open service flaps or move and exchange components. If the user wants to work on another area, the keys must be removed, which automatically blocks the area worked on previously. Apart from the key system, a rotating device also allows the rotor of the crusher to be turned and blocked manually in any position </w:t>
      </w:r>
      <w:r>
        <w:rPr>
          <w:sz w:val="22"/>
        </w:rPr>
        <w:lastRenderedPageBreak/>
        <w:t xml:space="preserve">from the outside using a gear. The exchange of rotor ledges and the elimination of bridging can be carried out even more safely. </w:t>
      </w:r>
    </w:p>
    <w:p w:rsidR="00BB1DCB" w:rsidRDefault="00BB1DCB" w:rsidP="000A576B">
      <w:pPr>
        <w:rPr>
          <w:sz w:val="22"/>
          <w:szCs w:val="22"/>
        </w:rPr>
      </w:pPr>
    </w:p>
    <w:p w:rsidR="00C953A1" w:rsidRDefault="00C953A1" w:rsidP="00C953A1">
      <w:pPr>
        <w:pStyle w:val="Subtitel-Unterstrichen1"/>
        <w:pBdr>
          <w:bottom w:val="none" w:sz="0" w:space="0" w:color="auto"/>
        </w:pBdr>
        <w:jc w:val="both"/>
        <w:rPr>
          <w:b w:val="0"/>
          <w:i/>
        </w:rPr>
      </w:pPr>
      <w:r>
        <w:rPr>
          <w:b w:val="0"/>
          <w:i/>
        </w:rPr>
        <w:t>Kleemann GmbH is a company of the Wirtgen Group, an expanding group of international companies in the construction machinery industry. This Group includes the five well-known brands, Wirtgen, Vögele, Hamm, Kleemann and Benninghoven, with their headquarters in Germany and local production sites in Brazil, India and China. Customer service is provided worldwide through its 55 independent sales and service outlets.</w:t>
      </w:r>
    </w:p>
    <w:p w:rsidR="00440883" w:rsidRDefault="00440883" w:rsidP="00144892">
      <w:pPr>
        <w:pStyle w:val="Text"/>
      </w:pPr>
    </w:p>
    <w:p w:rsidR="00F237D3" w:rsidRDefault="00F237D3" w:rsidP="00144892">
      <w:pPr>
        <w:pStyle w:val="Text"/>
      </w:pPr>
    </w:p>
    <w:p w:rsidR="00CC5715" w:rsidRPr="00566231" w:rsidRDefault="00566231" w:rsidP="00CC5715">
      <w:pPr>
        <w:pStyle w:val="HeadlineFotos"/>
        <w:rPr>
          <w:szCs w:val="22"/>
        </w:rPr>
      </w:pPr>
      <w:r>
        <w:rPr>
          <w:rFonts w:eastAsia="Calibri" w:cs="Times New Roman"/>
          <w:caps w:val="0"/>
        </w:rPr>
        <w:t>Photos</w:t>
      </w:r>
      <w:r>
        <w:t>:</w:t>
      </w:r>
    </w:p>
    <w:tbl>
      <w:tblPr>
        <w:tblStyle w:val="Basic"/>
        <w:tblW w:w="0" w:type="auto"/>
        <w:tblCellSpacing w:w="71" w:type="dxa"/>
        <w:tblLook w:val="04A0" w:firstRow="1" w:lastRow="0" w:firstColumn="1" w:lastColumn="0" w:noHBand="0" w:noVBand="1"/>
      </w:tblPr>
      <w:tblGrid>
        <w:gridCol w:w="218"/>
        <w:gridCol w:w="4781"/>
        <w:gridCol w:w="142"/>
        <w:gridCol w:w="4449"/>
        <w:gridCol w:w="218"/>
      </w:tblGrid>
      <w:tr w:rsidR="00BC33D6" w:rsidTr="007E3D03">
        <w:trPr>
          <w:cnfStyle w:val="100000000000" w:firstRow="1" w:lastRow="0" w:firstColumn="0" w:lastColumn="0" w:oddVBand="0" w:evenVBand="0" w:oddHBand="0" w:evenHBand="0" w:firstRowFirstColumn="0" w:firstRowLastColumn="0" w:lastRowFirstColumn="0" w:lastRowLastColumn="0"/>
          <w:tblCellSpacing w:w="71" w:type="dxa"/>
        </w:trPr>
        <w:tc>
          <w:tcPr>
            <w:tcW w:w="4799" w:type="dxa"/>
            <w:gridSpan w:val="3"/>
            <w:tcBorders>
              <w:right w:val="single" w:sz="4" w:space="0" w:color="auto"/>
            </w:tcBorders>
          </w:tcPr>
          <w:p w:rsidR="00AB6F0C" w:rsidRDefault="00AB6F0C" w:rsidP="00D166AC">
            <w:pPr>
              <w:rPr>
                <w:noProof/>
                <w:lang w:eastAsia="de-DE"/>
              </w:rPr>
            </w:pPr>
          </w:p>
          <w:p w:rsidR="00D166AC" w:rsidRDefault="00ED1B0F" w:rsidP="00D166AC">
            <w:r>
              <w:rPr>
                <w:noProof/>
                <w:lang w:val="de-DE" w:eastAsia="de-DE"/>
              </w:rPr>
              <w:drawing>
                <wp:inline distT="0" distB="0" distL="0" distR="0" wp14:anchorId="3E913A42" wp14:editId="6474D296">
                  <wp:extent cx="2459600" cy="1844702"/>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chinensteuerung_MC_Übersichtsseite_170627_kr.jpg"/>
                          <pic:cNvPicPr/>
                        </pic:nvPicPr>
                        <pic:blipFill>
                          <a:blip r:embed="rId8" cstate="print">
                            <a:extLst>
                              <a:ext uri="{28A0092B-C50C-407E-A947-70E740481C1C}">
                                <a14:useLocalDpi xmlns:a14="http://schemas.microsoft.com/office/drawing/2010/main"/>
                              </a:ext>
                            </a:extLst>
                          </a:blip>
                          <a:stretch>
                            <a:fillRect/>
                          </a:stretch>
                        </pic:blipFill>
                        <pic:spPr>
                          <a:xfrm>
                            <a:off x="0" y="0"/>
                            <a:ext cx="2461533" cy="1846152"/>
                          </a:xfrm>
                          <a:prstGeom prst="rect">
                            <a:avLst/>
                          </a:prstGeom>
                        </pic:spPr>
                      </pic:pic>
                    </a:graphicData>
                  </a:graphic>
                </wp:inline>
              </w:drawing>
            </w:r>
          </w:p>
          <w:p w:rsidR="00AB6F0C" w:rsidRPr="00D166AC" w:rsidRDefault="00AB6F0C" w:rsidP="00D166AC"/>
        </w:tc>
        <w:tc>
          <w:tcPr>
            <w:tcW w:w="4583" w:type="dxa"/>
            <w:gridSpan w:val="2"/>
          </w:tcPr>
          <w:p w:rsidR="00180D64" w:rsidRPr="00180D64" w:rsidRDefault="00321AC7" w:rsidP="00180D64">
            <w:pPr>
              <w:pStyle w:val="berschrift3"/>
              <w:outlineLvl w:val="2"/>
            </w:pPr>
            <w:r>
              <w:t>SPECTIVE control concept</w:t>
            </w:r>
          </w:p>
          <w:p w:rsidR="00D166AC" w:rsidRPr="00857D92" w:rsidRDefault="00081531" w:rsidP="00321AC7">
            <w:pPr>
              <w:pStyle w:val="Text"/>
              <w:jc w:val="left"/>
              <w:rPr>
                <w:sz w:val="20"/>
              </w:rPr>
            </w:pPr>
            <w:r>
              <w:t xml:space="preserve">The intuitive 12" touch panel simplifies work at the machine. All functions are visible at a glance, clear symbols point the way. </w:t>
            </w:r>
          </w:p>
        </w:tc>
      </w:tr>
      <w:tr w:rsidR="007E3D03" w:rsidTr="007E3D03">
        <w:trPr>
          <w:tblCellSpacing w:w="71" w:type="dxa"/>
        </w:trPr>
        <w:tc>
          <w:tcPr>
            <w:tcW w:w="4799" w:type="dxa"/>
            <w:gridSpan w:val="3"/>
            <w:tcBorders>
              <w:right w:val="single" w:sz="4" w:space="0" w:color="auto"/>
            </w:tcBorders>
          </w:tcPr>
          <w:p w:rsidR="007E3D03" w:rsidRPr="00D166AC" w:rsidRDefault="00ED1B0F" w:rsidP="00993F07">
            <w:r>
              <w:rPr>
                <w:noProof/>
                <w:lang w:val="de-DE" w:eastAsia="de-DE"/>
              </w:rPr>
              <w:drawing>
                <wp:inline distT="0" distB="0" distL="0" distR="0" wp14:anchorId="70BFB1CF" wp14:editId="051552EE">
                  <wp:extent cx="2813606" cy="159026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visual_noise.jpg"/>
                          <pic:cNvPicPr/>
                        </pic:nvPicPr>
                        <pic:blipFill rotWithShape="1">
                          <a:blip r:embed="rId9" cstate="print">
                            <a:extLst>
                              <a:ext uri="{28A0092B-C50C-407E-A947-70E740481C1C}">
                                <a14:useLocalDpi xmlns:a14="http://schemas.microsoft.com/office/drawing/2010/main"/>
                              </a:ext>
                            </a:extLst>
                          </a:blip>
                          <a:srcRect r="-2313"/>
                          <a:stretch/>
                        </pic:blipFill>
                        <pic:spPr bwMode="auto">
                          <a:xfrm>
                            <a:off x="0" y="0"/>
                            <a:ext cx="2827827" cy="1598298"/>
                          </a:xfrm>
                          <a:prstGeom prst="rect">
                            <a:avLst/>
                          </a:prstGeom>
                          <a:ln>
                            <a:noFill/>
                          </a:ln>
                          <a:extLst>
                            <a:ext uri="{53640926-AAD7-44D8-BBD7-CCE9431645EC}">
                              <a14:shadowObscured xmlns:a14="http://schemas.microsoft.com/office/drawing/2010/main"/>
                            </a:ext>
                          </a:extLst>
                        </pic:spPr>
                      </pic:pic>
                    </a:graphicData>
                  </a:graphic>
                </wp:inline>
              </w:drawing>
            </w:r>
          </w:p>
        </w:tc>
        <w:tc>
          <w:tcPr>
            <w:tcW w:w="4583" w:type="dxa"/>
            <w:gridSpan w:val="2"/>
          </w:tcPr>
          <w:p w:rsidR="007E3D03" w:rsidRPr="00180D64" w:rsidRDefault="00321AC7" w:rsidP="00993F07">
            <w:pPr>
              <w:pStyle w:val="berschrift3"/>
              <w:outlineLvl w:val="2"/>
            </w:pPr>
            <w:r>
              <w:t>Option package for noise reduction</w:t>
            </w:r>
          </w:p>
          <w:p w:rsidR="007E3D03" w:rsidRPr="00857D92" w:rsidRDefault="00321AC7" w:rsidP="00321AC7">
            <w:pPr>
              <w:pStyle w:val="Text"/>
              <w:jc w:val="left"/>
              <w:rPr>
                <w:sz w:val="20"/>
              </w:rPr>
            </w:pPr>
            <w:r>
              <w:t xml:space="preserve">Noise protection flaps and a sealed-off unit base make possible low-noise work close to the machine. </w:t>
            </w:r>
          </w:p>
        </w:tc>
      </w:tr>
      <w:tr w:rsidR="00ED1B0F" w:rsidTr="007E3D03">
        <w:trPr>
          <w:tblCellSpacing w:w="71" w:type="dxa"/>
        </w:trPr>
        <w:tc>
          <w:tcPr>
            <w:tcW w:w="4799" w:type="dxa"/>
            <w:gridSpan w:val="3"/>
            <w:tcBorders>
              <w:right w:val="single" w:sz="4" w:space="0" w:color="auto"/>
            </w:tcBorders>
          </w:tcPr>
          <w:p w:rsidR="00694D31" w:rsidRDefault="00694D31" w:rsidP="00993F07">
            <w:pPr>
              <w:rPr>
                <w:noProof/>
                <w:lang w:eastAsia="de-DE"/>
              </w:rPr>
            </w:pPr>
          </w:p>
          <w:p w:rsidR="00ED1B0F" w:rsidRDefault="00694D31" w:rsidP="00993F07">
            <w:pPr>
              <w:rPr>
                <w:noProof/>
                <w:lang w:eastAsia="de-DE"/>
              </w:rPr>
            </w:pPr>
            <w:r>
              <w:rPr>
                <w:noProof/>
                <w:lang w:val="de-DE" w:eastAsia="de-DE"/>
              </w:rPr>
              <mc:AlternateContent>
                <mc:Choice Requires="wps">
                  <w:drawing>
                    <wp:anchor distT="0" distB="0" distL="114300" distR="114300" simplePos="0" relativeHeight="251660288" behindDoc="0" locked="0" layoutInCell="1" allowOverlap="1">
                      <wp:simplePos x="0" y="0"/>
                      <wp:positionH relativeFrom="column">
                        <wp:posOffset>3071132</wp:posOffset>
                      </wp:positionH>
                      <wp:positionV relativeFrom="paragraph">
                        <wp:posOffset>1306739</wp:posOffset>
                      </wp:positionV>
                      <wp:extent cx="111125" cy="914400"/>
                      <wp:effectExtent l="0" t="0" r="22225" b="19050"/>
                      <wp:wrapNone/>
                      <wp:docPr id="13" name="Rechteck 13"/>
                      <wp:cNvGraphicFramePr/>
                      <a:graphic xmlns:a="http://schemas.openxmlformats.org/drawingml/2006/main">
                        <a:graphicData uri="http://schemas.microsoft.com/office/word/2010/wordprocessingShape">
                          <wps:wsp>
                            <wps:cNvSpPr/>
                            <wps:spPr>
                              <a:xfrm>
                                <a:off x="0" y="0"/>
                                <a:ext cx="111125" cy="9144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1F869F" id="Rechteck 13" o:spid="_x0000_s1026" style="position:absolute;margin-left:241.8pt;margin-top:102.9pt;width:8.75pt;height:1in;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uThkQIAAKwFAAAOAAAAZHJzL2Uyb0RvYy54bWysVN9PGzEMfp+0/yHK+7i7DjZWcUUViGkS&#10;AgRMPKe5pBctibMk7bX76+fkfpQxtAe0e8glsf3Z/mL77HxnNNkKHxTYmlZHJSXCcmiUXdf0++PV&#10;h1NKQmS2YRqsqOleBHq+eP/urHNzMYMWdCM8QRAb5p2raRujmxdF4K0wLByBExaFErxhEY9+XTSe&#10;dYhudDEry09FB75xHrgIAW8veyFdZHwpBY+3UgYRia4pxhbz6vO6SmuxOGPztWeuVXwIg70hCsOU&#10;RacT1CWLjGy8+gvKKO4hgIxHHEwBUioucg6YTVW+yOahZU7kXJCc4Caawv+D5TfbO09Ug2/3kRLL&#10;DL7RveBtFPwHwSvkp3NhjmoP7s4Pp4DblOxOepP+mAbZZU73E6diFwnHywq/2QklHEVfquPjMnNe&#10;HIydD/GrAEPSpqYenywzybbXIaJDVB1Vkq8AWjVXSut8SGUiLrQnW4YPvFpXKWC0+ENL2zcZIkyy&#10;LFL+fcZ5F/daJDxt74VE5jDHWQ441+whGMa5sLHqRS1rRB/jSYnfGOUYfo45AyZkidlN2APAqNmD&#10;jNh9soN+MhW55Cfj8l+B9caTRfYMNk7GRlnwrwFozGrw3OuPJPXUJJZW0Oyxrjz0DRccv1L4vNcs&#10;xDvmscOwF3FqxFtcpIaupjDsKGnB/3rtPulj4aOUkg47tqbh54Z5QYn+ZrElcnVhi+fD8cnnGfrw&#10;zyWr5xK7MReANVPhfHI8b5N+1ONWejBPOFyWySuKmOXou6Y8+vFwEftJguOJi+Uyq2FbOxav7YPj&#10;CTyxmsr3cffEvBtqPGJz3MDY3Wz+otR73WRpYbmJIFXugwOvA984EnLhDOMrzZzn56x1GLKL3wAA&#10;AP//AwBQSwMEFAAGAAgAAAAhAEyoORLgAAAACwEAAA8AAABkcnMvZG93bnJldi54bWxMj8FOwzAQ&#10;RO9I/IO1SFwQtdM2VZLGqRASVxCFCzc33sZRYzuy3TTw9Swnelzt08ybejfbgU0YYu+dhGwhgKFr&#10;ve5dJ+Hz4+WxABaTcloN3qGEb4ywa25valVpf3HvOO1TxyjExUpJMCmNFeexNWhVXPgRHf2OPliV&#10;6Awd10FdKNwOfCnEhlvVO2owasRng+1pf7YSyp/2LRV+zE3qv8rOZq/HMD1IeX83P22BJZzTPwx/&#10;+qQODTkd/NnpyAYJ62K1IVTCUuS0gYhcZBmwg4TVuiyANzW/3tD8AgAA//8DAFBLAQItABQABgAI&#10;AAAAIQC2gziS/gAAAOEBAAATAAAAAAAAAAAAAAAAAAAAAABbQ29udGVudF9UeXBlc10ueG1sUEsB&#10;Ai0AFAAGAAgAAAAhADj9If/WAAAAlAEAAAsAAAAAAAAAAAAAAAAALwEAAF9yZWxzLy5yZWxzUEsB&#10;Ai0AFAAGAAgAAAAhAHAm5OGRAgAArAUAAA4AAAAAAAAAAAAAAAAALgIAAGRycy9lMm9Eb2MueG1s&#10;UEsBAi0AFAAGAAgAAAAhAEyoORLgAAAACwEAAA8AAAAAAAAAAAAAAAAA6wQAAGRycy9kb3ducmV2&#10;LnhtbFBLBQYAAAAABAAEAPMAAAD4BQAAAAA=&#10;" fillcolor="white [3212]" strokecolor="white [3212]" strokeweight="2pt"/>
                  </w:pict>
                </mc:Fallback>
              </mc:AlternateContent>
            </w:r>
            <w:r w:rsidR="008D0EB3">
              <w:rPr>
                <w:noProof/>
                <w:lang w:val="de-DE" w:eastAsia="de-DE"/>
              </w:rPr>
              <mc:AlternateContent>
                <mc:Choice Requires="wps">
                  <w:drawing>
                    <wp:anchor distT="0" distB="0" distL="114300" distR="114300" simplePos="0" relativeHeight="251659264" behindDoc="0" locked="0" layoutInCell="1" allowOverlap="1" wp14:anchorId="0875DCC5" wp14:editId="2CA33501">
                      <wp:simplePos x="0" y="0"/>
                      <wp:positionH relativeFrom="column">
                        <wp:posOffset>3076244</wp:posOffset>
                      </wp:positionH>
                      <wp:positionV relativeFrom="paragraph">
                        <wp:posOffset>189672</wp:posOffset>
                      </wp:positionV>
                      <wp:extent cx="111318" cy="1256306"/>
                      <wp:effectExtent l="0" t="0" r="22225" b="20320"/>
                      <wp:wrapNone/>
                      <wp:docPr id="17" name="Rechteck 17"/>
                      <wp:cNvGraphicFramePr/>
                      <a:graphic xmlns:a="http://schemas.openxmlformats.org/drawingml/2006/main">
                        <a:graphicData uri="http://schemas.microsoft.com/office/word/2010/wordprocessingShape">
                          <wps:wsp>
                            <wps:cNvSpPr/>
                            <wps:spPr>
                              <a:xfrm>
                                <a:off x="0" y="0"/>
                                <a:ext cx="111318" cy="125630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B64C58" id="Rechteck 17" o:spid="_x0000_s1026" style="position:absolute;margin-left:242.2pt;margin-top:14.95pt;width:8.75pt;height:98.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KQ9kgIAAK0FAAAOAAAAZHJzL2Uyb0RvYy54bWysVMFu2zAMvQ/YPwi6r7bTtN2COkXQIsOA&#10;og3aDj0rshQbk0VNUuJkXz9Ksp2uK3Yo5oMsiuQT+UTy8mrfKrIT1jWgS1qc5JQIzaFq9Kak35+W&#10;nz5T4jzTFVOgRUkPwtGr+ccPl52ZiQnUoCphCYJoN+tMSWvvzSzLHK9Fy9wJGKFRKcG2zKNoN1ll&#10;WYforcomeX6edWArY4EL5/D0JinpPOJLKbi/l9IJT1RJMTYfVxvXdViz+SWbbSwzdcP7MNg7omhZ&#10;o/HSEeqGeUa2tvkLqm24BQfSn3BoM5Cy4SLmgNkU+atsHmtmRMwFyXFmpMn9P1h+t1tZ0lT4dheU&#10;aNbiGz0IXnvBfxA8Qn4642Zo9mhWtpccbkOye2nb8Mc0yD5yehg5FXtPOB4WRXFaYBFwVBWTs/PT&#10;/DyAZkdvY53/KqAlYVNSi28WqWS7W+eT6WASLnOgmmrZKBWFUCfiWlmyY/jC603Rg/9hpfS7HDHG&#10;4JkFAlLKcecPSgQ8pR+EROowyUkMOBbtMRjGudC+SKqaVSLFeJbjN0Q5hB8JiYABWWJ2I3YPMFgm&#10;kAE70dPbB1cRa350zv8VWHIePeLNoP3o3DYa7FsACrPqb072A0mJmsDSGqoDFpaF1HHO8GWDz3vL&#10;nF8xiy2GzYhjw9/jIhV0JYV+R0kN9tdb58EeKx+1lHTYsiV1P7fMCkrUN4098aWYTkOPR2F6djFB&#10;wb7UrF9q9La9BqyZAgeU4XEb7L0attJC+4zTZRFuRRXTHO8uKfd2EK59GiU4n7hYLKIZ9rVh/lY/&#10;Gh7AA6uhfJ/2z8yavsY9dscdDO3NZq9KPdkGTw2LrQfZxD448trzjTMhFk4/v8LQeSlHq+OUnf8G&#10;AAD//wMAUEsDBBQABgAIAAAAIQAn4NsS3gAAAAoBAAAPAAAAZHJzL2Rvd25yZXYueG1sTI9NT8Mw&#10;DIbvSPyHyEhcEEtbdaztmk4IiSuIwYVb1nhttcapkqwr/HrMCW7+ePT6cb1b7Chm9GFwpCBdJSCQ&#10;WmcG6hR8vD/fFyBC1GT06AgVfGGAXXN9VevKuAu94byPneAQCpVW0Mc4VVKGtkerw8pNSLw7Om91&#10;5NZ30nh94XA7yixJHqTVA/GFXk/41GN72p+tgvK7fY2Fm9Z9HD7LzqYvRz/fKXV7szxuQURc4h8M&#10;v/qsDg07HdyZTBCjgrzIc0YVZGUJgoF1knJx4EG22YBsavn/heYHAAD//wMAUEsBAi0AFAAGAAgA&#10;AAAhALaDOJL+AAAA4QEAABMAAAAAAAAAAAAAAAAAAAAAAFtDb250ZW50X1R5cGVzXS54bWxQSwEC&#10;LQAUAAYACAAAACEAOP0h/9YAAACUAQAACwAAAAAAAAAAAAAAAAAvAQAAX3JlbHMvLnJlbHNQSwEC&#10;LQAUAAYACAAAACEAOUykPZICAACtBQAADgAAAAAAAAAAAAAAAAAuAgAAZHJzL2Uyb0RvYy54bWxQ&#10;SwECLQAUAAYACAAAACEAJ+DbEt4AAAAKAQAADwAAAAAAAAAAAAAAAADsBAAAZHJzL2Rvd25yZXYu&#10;eG1sUEsFBgAAAAAEAAQA8wAAAPcFAAAAAA==&#10;" fillcolor="white [3212]" strokecolor="white [3212]" strokeweight="2pt"/>
                  </w:pict>
                </mc:Fallback>
              </mc:AlternateContent>
            </w:r>
          </w:p>
        </w:tc>
        <w:tc>
          <w:tcPr>
            <w:tcW w:w="4583" w:type="dxa"/>
            <w:gridSpan w:val="2"/>
          </w:tcPr>
          <w:p w:rsidR="00ED1B0F" w:rsidRDefault="00ED1B0F" w:rsidP="00993F07">
            <w:pPr>
              <w:pStyle w:val="berschrift3"/>
              <w:outlineLvl w:val="2"/>
            </w:pPr>
          </w:p>
          <w:p w:rsidR="008D0EB3" w:rsidRDefault="008D0EB3" w:rsidP="00993F07">
            <w:pPr>
              <w:pStyle w:val="berschrift3"/>
              <w:outlineLvl w:val="2"/>
            </w:pPr>
          </w:p>
          <w:p w:rsidR="008D0EB3" w:rsidRDefault="008D0EB3" w:rsidP="00993F07">
            <w:pPr>
              <w:pStyle w:val="berschrift3"/>
              <w:outlineLvl w:val="2"/>
            </w:pPr>
          </w:p>
          <w:p w:rsidR="008D0EB3" w:rsidRDefault="008D0EB3" w:rsidP="00993F07">
            <w:pPr>
              <w:pStyle w:val="berschrift3"/>
              <w:outlineLvl w:val="2"/>
            </w:pPr>
          </w:p>
          <w:p w:rsidR="00F60237" w:rsidRPr="00082ECE" w:rsidRDefault="00F60237" w:rsidP="00993F07">
            <w:pPr>
              <w:pStyle w:val="berschrift3"/>
              <w:outlineLvl w:val="2"/>
              <w:rPr>
                <w:noProof/>
                <w:lang w:val="en-US" w:eastAsia="de-DE"/>
              </w:rPr>
            </w:pPr>
          </w:p>
          <w:p w:rsidR="00F60237" w:rsidRPr="00082ECE" w:rsidRDefault="00F60237" w:rsidP="00993F07">
            <w:pPr>
              <w:pStyle w:val="berschrift3"/>
              <w:outlineLvl w:val="2"/>
              <w:rPr>
                <w:noProof/>
                <w:lang w:val="en-US" w:eastAsia="de-DE"/>
              </w:rPr>
            </w:pPr>
          </w:p>
          <w:p w:rsidR="00F60237" w:rsidRPr="00082ECE" w:rsidRDefault="00F60237" w:rsidP="00993F07">
            <w:pPr>
              <w:pStyle w:val="berschrift3"/>
              <w:outlineLvl w:val="2"/>
              <w:rPr>
                <w:noProof/>
                <w:lang w:val="en-US" w:eastAsia="de-DE"/>
              </w:rPr>
            </w:pPr>
          </w:p>
          <w:p w:rsidR="00F60237" w:rsidRPr="00082ECE" w:rsidRDefault="00F60237" w:rsidP="00993F07">
            <w:pPr>
              <w:pStyle w:val="berschrift3"/>
              <w:outlineLvl w:val="2"/>
              <w:rPr>
                <w:noProof/>
                <w:lang w:val="en-US" w:eastAsia="de-DE"/>
              </w:rPr>
            </w:pPr>
          </w:p>
          <w:p w:rsidR="00F60237" w:rsidRPr="00082ECE" w:rsidRDefault="00F60237" w:rsidP="00993F07">
            <w:pPr>
              <w:pStyle w:val="berschrift3"/>
              <w:outlineLvl w:val="2"/>
              <w:rPr>
                <w:noProof/>
                <w:lang w:val="en-US" w:eastAsia="de-DE"/>
              </w:rPr>
            </w:pPr>
          </w:p>
          <w:p w:rsidR="008D0EB3" w:rsidRDefault="008D0EB3" w:rsidP="00993F07">
            <w:pPr>
              <w:pStyle w:val="berschrift3"/>
              <w:outlineLvl w:val="2"/>
            </w:pPr>
            <w:bookmarkStart w:id="0" w:name="_GoBack"/>
            <w:r>
              <w:rPr>
                <w:noProof/>
                <w:lang w:val="de-DE" w:eastAsia="de-DE"/>
              </w:rPr>
              <w:lastRenderedPageBreak/>
              <w:drawing>
                <wp:anchor distT="0" distB="0" distL="114300" distR="114300" simplePos="0" relativeHeight="251658240" behindDoc="0" locked="0" layoutInCell="1" allowOverlap="1" wp14:anchorId="0C3538A0" wp14:editId="70CA185E">
                  <wp:simplePos x="0" y="0"/>
                  <wp:positionH relativeFrom="column">
                    <wp:posOffset>-3142233</wp:posOffset>
                  </wp:positionH>
                  <wp:positionV relativeFrom="paragraph">
                    <wp:posOffset>86360</wp:posOffset>
                  </wp:positionV>
                  <wp:extent cx="2567811" cy="1711325"/>
                  <wp:effectExtent l="0" t="0" r="4445" b="317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emann_lock_turn_Schritt_6.jpg"/>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567811" cy="1711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p>
          <w:p w:rsidR="00ED1B0F" w:rsidRDefault="00321AC7" w:rsidP="00993F07">
            <w:pPr>
              <w:pStyle w:val="berschrift3"/>
              <w:outlineLvl w:val="2"/>
            </w:pPr>
            <w:r>
              <w:t xml:space="preserve">Lock &amp; Turn safety system </w:t>
            </w:r>
          </w:p>
          <w:p w:rsidR="00321AC7" w:rsidRDefault="00321AC7" w:rsidP="00321AC7">
            <w:pPr>
              <w:pStyle w:val="Text"/>
            </w:pPr>
            <w:r>
              <w:t xml:space="preserve">The award-winning "Lock &amp; Turn" system provides the highest level of safety during rotor ledge change and when releasing bridging. </w:t>
            </w:r>
          </w:p>
          <w:p w:rsidR="00321AC7" w:rsidRDefault="00321AC7" w:rsidP="00321AC7">
            <w:pPr>
              <w:pStyle w:val="Text"/>
            </w:pPr>
          </w:p>
          <w:p w:rsidR="00321AC7" w:rsidRDefault="00321AC7" w:rsidP="00321AC7">
            <w:pPr>
              <w:pStyle w:val="Text"/>
            </w:pPr>
          </w:p>
          <w:p w:rsidR="00321AC7" w:rsidRDefault="00321AC7" w:rsidP="00321AC7">
            <w:pPr>
              <w:pStyle w:val="Text"/>
            </w:pPr>
          </w:p>
          <w:p w:rsidR="00321AC7" w:rsidRPr="00ED1B0F" w:rsidRDefault="00321AC7" w:rsidP="00321AC7">
            <w:pPr>
              <w:pStyle w:val="Text"/>
            </w:pPr>
          </w:p>
          <w:p w:rsidR="00ED1B0F" w:rsidRPr="00ED1B0F" w:rsidRDefault="00ED1B0F" w:rsidP="00ED1B0F">
            <w:pPr>
              <w:pStyle w:val="Text"/>
            </w:pPr>
          </w:p>
        </w:tc>
      </w:tr>
      <w:tr w:rsidR="00D166AC" w:rsidTr="007E3D03">
        <w:tblPrEx>
          <w:tblCellSpacing w:w="0" w:type="nil"/>
        </w:tblPrEx>
        <w:trPr>
          <w:gridBefore w:val="1"/>
          <w:gridAfter w:val="1"/>
          <w:wAfter w:w="5" w:type="dxa"/>
        </w:trPr>
        <w:tc>
          <w:tcPr>
            <w:tcW w:w="4658" w:type="dxa"/>
          </w:tcPr>
          <w:p w:rsidR="00AB6F0C" w:rsidRPr="00AB6F0C" w:rsidRDefault="00AB6F0C" w:rsidP="00AB6F0C">
            <w:pPr>
              <w:pStyle w:val="Text"/>
            </w:pPr>
          </w:p>
          <w:p w:rsidR="008D0EB3" w:rsidRDefault="008D0EB3" w:rsidP="00180D64">
            <w:pPr>
              <w:pStyle w:val="HeadlineKontakte"/>
              <w:rPr>
                <w:rFonts w:ascii="Verdana" w:eastAsia="Calibri" w:hAnsi="Verdana" w:cs="Times New Roman"/>
                <w:caps w:val="0"/>
                <w:szCs w:val="22"/>
              </w:rPr>
            </w:pPr>
          </w:p>
          <w:p w:rsidR="008D0EB3" w:rsidRDefault="008D0EB3" w:rsidP="00180D64">
            <w:pPr>
              <w:pStyle w:val="HeadlineKontakte"/>
              <w:rPr>
                <w:rFonts w:ascii="Verdana" w:eastAsia="Calibri" w:hAnsi="Verdana" w:cs="Times New Roman"/>
                <w:caps w:val="0"/>
                <w:szCs w:val="22"/>
              </w:rPr>
            </w:pPr>
          </w:p>
          <w:p w:rsidR="00180D64" w:rsidRPr="00566231" w:rsidRDefault="00566231" w:rsidP="00180D64">
            <w:pPr>
              <w:pStyle w:val="HeadlineKontakte"/>
              <w:rPr>
                <w:szCs w:val="22"/>
              </w:rPr>
            </w:pPr>
            <w:r>
              <w:rPr>
                <w:rFonts w:ascii="Verdana" w:eastAsia="Calibri" w:hAnsi="Verdana" w:cs="Times New Roman"/>
                <w:caps w:val="0"/>
              </w:rPr>
              <w:t>Further information</w:t>
            </w:r>
            <w:r>
              <w:rPr>
                <w:b w:val="0"/>
              </w:rPr>
              <w:t xml:space="preserve"> </w:t>
            </w:r>
          </w:p>
          <w:p w:rsidR="00180D64" w:rsidRPr="00566231" w:rsidRDefault="00566231" w:rsidP="00180D64">
            <w:pPr>
              <w:pStyle w:val="HeadlineKontakte"/>
              <w:rPr>
                <w:szCs w:val="22"/>
              </w:rPr>
            </w:pPr>
            <w:r>
              <w:rPr>
                <w:rFonts w:ascii="Verdana" w:eastAsia="Calibri" w:hAnsi="Verdana" w:cs="Times New Roman"/>
                <w:caps w:val="0"/>
              </w:rPr>
              <w:t>is available from</w:t>
            </w:r>
            <w:r>
              <w:t>:</w:t>
            </w:r>
          </w:p>
          <w:p w:rsidR="00180D64" w:rsidRPr="00082ECE" w:rsidRDefault="00180D64" w:rsidP="00180D64">
            <w:pPr>
              <w:pStyle w:val="Text"/>
              <w:rPr>
                <w:lang w:val="de-DE"/>
              </w:rPr>
            </w:pPr>
            <w:r w:rsidRPr="00082ECE">
              <w:rPr>
                <w:lang w:val="de-DE"/>
              </w:rPr>
              <w:t>KLEEMANN GmbH</w:t>
            </w:r>
          </w:p>
          <w:p w:rsidR="00180D64" w:rsidRPr="00082ECE" w:rsidRDefault="00180D64" w:rsidP="00180D64">
            <w:pPr>
              <w:pStyle w:val="Text"/>
              <w:rPr>
                <w:lang w:val="de-DE"/>
              </w:rPr>
            </w:pPr>
            <w:r w:rsidRPr="00082ECE">
              <w:rPr>
                <w:lang w:val="de-DE"/>
              </w:rPr>
              <w:t>Mark Hezinger</w:t>
            </w:r>
          </w:p>
          <w:p w:rsidR="00180D64" w:rsidRPr="00180D64" w:rsidRDefault="00180D64" w:rsidP="00180D64">
            <w:pPr>
              <w:pStyle w:val="Text"/>
            </w:pPr>
            <w:r w:rsidRPr="00082ECE">
              <w:rPr>
                <w:lang w:val="de-DE"/>
              </w:rPr>
              <w:t xml:space="preserve">Manfred-Wörner-Str. </w:t>
            </w:r>
            <w:r>
              <w:t>160</w:t>
            </w:r>
          </w:p>
          <w:p w:rsidR="00180D64" w:rsidRPr="00180D64" w:rsidRDefault="00180D64" w:rsidP="00180D64">
            <w:pPr>
              <w:pStyle w:val="Text"/>
            </w:pPr>
            <w:r>
              <w:t>73037 Göppingen</w:t>
            </w:r>
          </w:p>
          <w:p w:rsidR="00180D64" w:rsidRPr="00180D64" w:rsidRDefault="00180D64" w:rsidP="00180D64">
            <w:pPr>
              <w:pStyle w:val="Text"/>
            </w:pPr>
            <w:r>
              <w:t>Germany</w:t>
            </w:r>
          </w:p>
          <w:p w:rsidR="00180D64" w:rsidRPr="00180D64" w:rsidRDefault="00180D64" w:rsidP="00180D64">
            <w:pPr>
              <w:pStyle w:val="Text"/>
            </w:pPr>
          </w:p>
          <w:p w:rsidR="00180D64" w:rsidRPr="00180D64" w:rsidRDefault="003A528F" w:rsidP="00180D64">
            <w:pPr>
              <w:pStyle w:val="Text"/>
            </w:pPr>
            <w:r>
              <w:t>Telephone: +49 (0) 7161 206-0</w:t>
            </w:r>
          </w:p>
          <w:p w:rsidR="00180D64" w:rsidRPr="00180D64" w:rsidRDefault="00E87341" w:rsidP="00180D64">
            <w:pPr>
              <w:pStyle w:val="Text"/>
            </w:pPr>
            <w:r>
              <w:t>E-mail: mark.hezinger@kleemann.info</w:t>
            </w:r>
          </w:p>
          <w:p w:rsidR="00D166AC" w:rsidRPr="00180D64" w:rsidRDefault="00180D64" w:rsidP="00180D64">
            <w:pPr>
              <w:pStyle w:val="Text"/>
            </w:pPr>
            <w:r>
              <w:t>www.kleemann.info</w:t>
            </w:r>
          </w:p>
        </w:tc>
        <w:tc>
          <w:tcPr>
            <w:tcW w:w="4582" w:type="dxa"/>
            <w:gridSpan w:val="2"/>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D82" w:rsidRDefault="001F3D82" w:rsidP="00E55534">
      <w:r>
        <w:separator/>
      </w:r>
    </w:p>
  </w:endnote>
  <w:endnote w:type="continuationSeparator" w:id="0">
    <w:p w:rsidR="001F3D82" w:rsidRDefault="001F3D8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082ECE">
                    <w:rPr>
                      <w:noProof/>
                    </w:rPr>
                    <w:t>01</w:t>
                  </w:r>
                  <w:r w:rsidRPr="008C2DB2">
                    <w:fldChar w:fldCharType="end"/>
                  </w:r>
                </w:p>
              </w:sdtContent>
            </w:sdt>
          </w:tc>
        </w:tr>
      </w:sdtContent>
    </w:sdt>
  </w:tbl>
  <w:sdt>
    <w:sdtPr>
      <w:id w:val="-958642266"/>
      <w:lock w:val="sdtContentLocked"/>
    </w:sdtPr>
    <w:sdtEndPr/>
    <w:sdtContent>
      <w:p w:rsidR="00A171F4" w:rsidRDefault="00694D31">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3E812E"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004e9e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694D31">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B134C8"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004e9e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D82" w:rsidRDefault="001F3D82" w:rsidP="00E55534">
      <w:r>
        <w:separator/>
      </w:r>
    </w:p>
  </w:footnote>
  <w:footnote w:type="continuationSeparator" w:id="0">
    <w:p w:rsidR="001F3D82" w:rsidRDefault="001F3D8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694D31">
        <w:pPr>
          <w:pStyle w:val="Kopfzeile"/>
          <w:rPr>
            <w:noProof/>
            <w:sz w:val="14"/>
            <w:lang w:eastAsia="de-DE"/>
          </w:rPr>
        </w:pPr>
        <w:r>
          <w:rPr>
            <w:noProof/>
            <w:lang w:val="de-DE" w:eastAsia="de-DE"/>
          </w:rPr>
          <w:drawing>
            <wp:anchor distT="0" distB="0" distL="114300" distR="114300" simplePos="0" relativeHeight="251672576" behindDoc="0" locked="0" layoutInCell="1" allowOverlap="1" wp14:anchorId="646E91CC" wp14:editId="00DC34C0">
              <wp:simplePos x="0" y="0"/>
              <wp:positionH relativeFrom="page">
                <wp:posOffset>756285</wp:posOffset>
              </wp:positionH>
              <wp:positionV relativeFrom="page">
                <wp:posOffset>288290</wp:posOffset>
              </wp:positionV>
              <wp:extent cx="18900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900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Pr>
                  <w:sz w:val="32"/>
                </w:rPr>
                <w:t>PRESS</w:t>
              </w:r>
              <w:r>
                <w:rPr>
                  <w:b w:val="0"/>
                  <w:sz w:val="32"/>
                </w:rPr>
                <w:t xml:space="preserve"> </w:t>
              </w:r>
              <w:r>
                <w:rPr>
                  <w:sz w:val="32"/>
                </w:rPr>
                <w:t>RELEASE</w:t>
              </w:r>
            </w:p>
          </w:tc>
        </w:tr>
      </w:tbl>
      <w:p w:rsidR="00A171F4" w:rsidRPr="002E765F" w:rsidRDefault="00694D31">
        <w:pPr>
          <w:pStyle w:val="Kopfzeile"/>
          <w:rPr>
            <w:sz w:val="14"/>
          </w:rPr>
        </w:pPr>
        <w:r>
          <w:rPr>
            <w:noProof/>
            <w:lang w:val="de-DE" w:eastAsia="de-DE"/>
          </w:rPr>
          <w:drawing>
            <wp:anchor distT="0" distB="0" distL="114300" distR="114300" simplePos="0" relativeHeight="251666432" behindDoc="0" locked="0" layoutInCell="1" allowOverlap="1" wp14:anchorId="1AE063F9" wp14:editId="2D68001B">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68480" behindDoc="0" locked="0" layoutInCell="1" allowOverlap="1" wp14:anchorId="09D8D714" wp14:editId="5EBFCC21">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177CD1"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004e9e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694D31">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4088AF"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004e9e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B66"/>
    <w:rsid w:val="00034477"/>
    <w:rsid w:val="00035D05"/>
    <w:rsid w:val="00042106"/>
    <w:rsid w:val="00050436"/>
    <w:rsid w:val="00051ADF"/>
    <w:rsid w:val="0005285B"/>
    <w:rsid w:val="00055F85"/>
    <w:rsid w:val="00066D09"/>
    <w:rsid w:val="00081531"/>
    <w:rsid w:val="00082ECE"/>
    <w:rsid w:val="000853E3"/>
    <w:rsid w:val="000920DC"/>
    <w:rsid w:val="0009665C"/>
    <w:rsid w:val="00097B52"/>
    <w:rsid w:val="000A576B"/>
    <w:rsid w:val="000A779E"/>
    <w:rsid w:val="000B2E47"/>
    <w:rsid w:val="000F05D5"/>
    <w:rsid w:val="001015E3"/>
    <w:rsid w:val="00101D3E"/>
    <w:rsid w:val="00103205"/>
    <w:rsid w:val="00104FF7"/>
    <w:rsid w:val="00105274"/>
    <w:rsid w:val="00105543"/>
    <w:rsid w:val="00117C7A"/>
    <w:rsid w:val="0012026F"/>
    <w:rsid w:val="00121543"/>
    <w:rsid w:val="00130621"/>
    <w:rsid w:val="00132055"/>
    <w:rsid w:val="00140F5E"/>
    <w:rsid w:val="00143E6C"/>
    <w:rsid w:val="00144892"/>
    <w:rsid w:val="00152E32"/>
    <w:rsid w:val="00153279"/>
    <w:rsid w:val="00157EEA"/>
    <w:rsid w:val="00174ABB"/>
    <w:rsid w:val="00180D64"/>
    <w:rsid w:val="001A1CD3"/>
    <w:rsid w:val="001A6B66"/>
    <w:rsid w:val="001B16BB"/>
    <w:rsid w:val="001D4FD3"/>
    <w:rsid w:val="001D7B46"/>
    <w:rsid w:val="001F05EE"/>
    <w:rsid w:val="001F3D82"/>
    <w:rsid w:val="002037B4"/>
    <w:rsid w:val="00210F40"/>
    <w:rsid w:val="00232568"/>
    <w:rsid w:val="0024189E"/>
    <w:rsid w:val="00253A2E"/>
    <w:rsid w:val="00271860"/>
    <w:rsid w:val="00271A9A"/>
    <w:rsid w:val="00272B26"/>
    <w:rsid w:val="0029115B"/>
    <w:rsid w:val="0029634D"/>
    <w:rsid w:val="002A1BDF"/>
    <w:rsid w:val="002B0EDD"/>
    <w:rsid w:val="002E765F"/>
    <w:rsid w:val="002F108B"/>
    <w:rsid w:val="002F2F07"/>
    <w:rsid w:val="00300484"/>
    <w:rsid w:val="003055EF"/>
    <w:rsid w:val="003113A0"/>
    <w:rsid w:val="00314852"/>
    <w:rsid w:val="00321AC7"/>
    <w:rsid w:val="00332A0E"/>
    <w:rsid w:val="003350A1"/>
    <w:rsid w:val="0034191A"/>
    <w:rsid w:val="00343CC7"/>
    <w:rsid w:val="00345994"/>
    <w:rsid w:val="003633B4"/>
    <w:rsid w:val="00384A08"/>
    <w:rsid w:val="00384D56"/>
    <w:rsid w:val="003911E6"/>
    <w:rsid w:val="003A1934"/>
    <w:rsid w:val="003A528F"/>
    <w:rsid w:val="003A753A"/>
    <w:rsid w:val="003C1FDE"/>
    <w:rsid w:val="003D0842"/>
    <w:rsid w:val="003D20B3"/>
    <w:rsid w:val="003E1CB6"/>
    <w:rsid w:val="003E3CF6"/>
    <w:rsid w:val="003E759F"/>
    <w:rsid w:val="00403373"/>
    <w:rsid w:val="00406C81"/>
    <w:rsid w:val="004073BF"/>
    <w:rsid w:val="00412545"/>
    <w:rsid w:val="00415E89"/>
    <w:rsid w:val="00427BF6"/>
    <w:rsid w:val="00430BB0"/>
    <w:rsid w:val="00440883"/>
    <w:rsid w:val="0046512A"/>
    <w:rsid w:val="00467457"/>
    <w:rsid w:val="004A55FF"/>
    <w:rsid w:val="004B734A"/>
    <w:rsid w:val="004C4BFA"/>
    <w:rsid w:val="004E1746"/>
    <w:rsid w:val="004F2C4E"/>
    <w:rsid w:val="004F435C"/>
    <w:rsid w:val="00504129"/>
    <w:rsid w:val="00506409"/>
    <w:rsid w:val="005151F7"/>
    <w:rsid w:val="00530E32"/>
    <w:rsid w:val="0054301D"/>
    <w:rsid w:val="005458B8"/>
    <w:rsid w:val="00560112"/>
    <w:rsid w:val="00566231"/>
    <w:rsid w:val="005711A3"/>
    <w:rsid w:val="00573B2B"/>
    <w:rsid w:val="005828A3"/>
    <w:rsid w:val="005A4F04"/>
    <w:rsid w:val="005B5793"/>
    <w:rsid w:val="005C3C19"/>
    <w:rsid w:val="005D6D8F"/>
    <w:rsid w:val="006016DA"/>
    <w:rsid w:val="006330A2"/>
    <w:rsid w:val="00633530"/>
    <w:rsid w:val="00642EB6"/>
    <w:rsid w:val="006602B7"/>
    <w:rsid w:val="00674134"/>
    <w:rsid w:val="00694D31"/>
    <w:rsid w:val="006A4F8A"/>
    <w:rsid w:val="006B5ED8"/>
    <w:rsid w:val="006F7602"/>
    <w:rsid w:val="006F7A3E"/>
    <w:rsid w:val="00702BAA"/>
    <w:rsid w:val="00704234"/>
    <w:rsid w:val="007154F8"/>
    <w:rsid w:val="00721606"/>
    <w:rsid w:val="00722A17"/>
    <w:rsid w:val="0073326D"/>
    <w:rsid w:val="00733B2B"/>
    <w:rsid w:val="007506E4"/>
    <w:rsid w:val="00757B83"/>
    <w:rsid w:val="00761639"/>
    <w:rsid w:val="007700EB"/>
    <w:rsid w:val="00773A24"/>
    <w:rsid w:val="00775BD4"/>
    <w:rsid w:val="00777B34"/>
    <w:rsid w:val="00791A69"/>
    <w:rsid w:val="00794830"/>
    <w:rsid w:val="00797CAA"/>
    <w:rsid w:val="007A207C"/>
    <w:rsid w:val="007B0317"/>
    <w:rsid w:val="007C0780"/>
    <w:rsid w:val="007C2658"/>
    <w:rsid w:val="007C30C8"/>
    <w:rsid w:val="007C7244"/>
    <w:rsid w:val="007D0D68"/>
    <w:rsid w:val="007E20D0"/>
    <w:rsid w:val="007E3D03"/>
    <w:rsid w:val="008035E8"/>
    <w:rsid w:val="00820315"/>
    <w:rsid w:val="00827C81"/>
    <w:rsid w:val="0083402C"/>
    <w:rsid w:val="00843B45"/>
    <w:rsid w:val="008440AC"/>
    <w:rsid w:val="008467E5"/>
    <w:rsid w:val="00857D92"/>
    <w:rsid w:val="00863129"/>
    <w:rsid w:val="00863DF2"/>
    <w:rsid w:val="008849B9"/>
    <w:rsid w:val="008930F5"/>
    <w:rsid w:val="008A175D"/>
    <w:rsid w:val="008A6553"/>
    <w:rsid w:val="008B53BF"/>
    <w:rsid w:val="008B7CFB"/>
    <w:rsid w:val="008C2DB2"/>
    <w:rsid w:val="008D0EB3"/>
    <w:rsid w:val="008D1DB2"/>
    <w:rsid w:val="008D770E"/>
    <w:rsid w:val="008F2625"/>
    <w:rsid w:val="00902EFB"/>
    <w:rsid w:val="0090337E"/>
    <w:rsid w:val="00954387"/>
    <w:rsid w:val="00962DCF"/>
    <w:rsid w:val="0097480E"/>
    <w:rsid w:val="009867AC"/>
    <w:rsid w:val="009A45BB"/>
    <w:rsid w:val="009B3F84"/>
    <w:rsid w:val="009B6BFA"/>
    <w:rsid w:val="009C09E5"/>
    <w:rsid w:val="009C2378"/>
    <w:rsid w:val="009C3F33"/>
    <w:rsid w:val="009D016F"/>
    <w:rsid w:val="009D7ABD"/>
    <w:rsid w:val="009E251D"/>
    <w:rsid w:val="00A03749"/>
    <w:rsid w:val="00A03B08"/>
    <w:rsid w:val="00A0504E"/>
    <w:rsid w:val="00A171F4"/>
    <w:rsid w:val="00A24EFC"/>
    <w:rsid w:val="00A344B2"/>
    <w:rsid w:val="00A35FE6"/>
    <w:rsid w:val="00A45582"/>
    <w:rsid w:val="00A51B98"/>
    <w:rsid w:val="00A543C8"/>
    <w:rsid w:val="00A67740"/>
    <w:rsid w:val="00A85EDD"/>
    <w:rsid w:val="00A860BC"/>
    <w:rsid w:val="00A86C96"/>
    <w:rsid w:val="00A97104"/>
    <w:rsid w:val="00A977CE"/>
    <w:rsid w:val="00AA2458"/>
    <w:rsid w:val="00AB6F0C"/>
    <w:rsid w:val="00AC2D79"/>
    <w:rsid w:val="00AD131F"/>
    <w:rsid w:val="00AF3B3A"/>
    <w:rsid w:val="00AF6569"/>
    <w:rsid w:val="00B06265"/>
    <w:rsid w:val="00B1437A"/>
    <w:rsid w:val="00B259C1"/>
    <w:rsid w:val="00B4683F"/>
    <w:rsid w:val="00B67C68"/>
    <w:rsid w:val="00B90F78"/>
    <w:rsid w:val="00B95E35"/>
    <w:rsid w:val="00BB1DCB"/>
    <w:rsid w:val="00BB4839"/>
    <w:rsid w:val="00BC33D6"/>
    <w:rsid w:val="00BC42BA"/>
    <w:rsid w:val="00BD1058"/>
    <w:rsid w:val="00BF2700"/>
    <w:rsid w:val="00BF56B2"/>
    <w:rsid w:val="00C023D9"/>
    <w:rsid w:val="00C04AC8"/>
    <w:rsid w:val="00C14602"/>
    <w:rsid w:val="00C234B1"/>
    <w:rsid w:val="00C457C3"/>
    <w:rsid w:val="00C52084"/>
    <w:rsid w:val="00C644CA"/>
    <w:rsid w:val="00C660B9"/>
    <w:rsid w:val="00C7003B"/>
    <w:rsid w:val="00C73005"/>
    <w:rsid w:val="00C7733B"/>
    <w:rsid w:val="00C953A1"/>
    <w:rsid w:val="00C96107"/>
    <w:rsid w:val="00CA075B"/>
    <w:rsid w:val="00CA362F"/>
    <w:rsid w:val="00CB184F"/>
    <w:rsid w:val="00CB6CCA"/>
    <w:rsid w:val="00CC2E4B"/>
    <w:rsid w:val="00CC409D"/>
    <w:rsid w:val="00CC5715"/>
    <w:rsid w:val="00CD1989"/>
    <w:rsid w:val="00CD214F"/>
    <w:rsid w:val="00CD2FF2"/>
    <w:rsid w:val="00CE0EA5"/>
    <w:rsid w:val="00CE24A2"/>
    <w:rsid w:val="00CF36C9"/>
    <w:rsid w:val="00CF7A69"/>
    <w:rsid w:val="00D002B4"/>
    <w:rsid w:val="00D166AC"/>
    <w:rsid w:val="00D16B46"/>
    <w:rsid w:val="00D206FE"/>
    <w:rsid w:val="00D516D8"/>
    <w:rsid w:val="00D55B05"/>
    <w:rsid w:val="00D62E38"/>
    <w:rsid w:val="00D8365E"/>
    <w:rsid w:val="00D85AB6"/>
    <w:rsid w:val="00DA7F00"/>
    <w:rsid w:val="00E14608"/>
    <w:rsid w:val="00E156A9"/>
    <w:rsid w:val="00E21E67"/>
    <w:rsid w:val="00E30EBF"/>
    <w:rsid w:val="00E52D70"/>
    <w:rsid w:val="00E55534"/>
    <w:rsid w:val="00E577AD"/>
    <w:rsid w:val="00E81D70"/>
    <w:rsid w:val="00E8406A"/>
    <w:rsid w:val="00E87341"/>
    <w:rsid w:val="00E914D1"/>
    <w:rsid w:val="00E946CD"/>
    <w:rsid w:val="00EB2BA6"/>
    <w:rsid w:val="00EB3710"/>
    <w:rsid w:val="00EC21C7"/>
    <w:rsid w:val="00ED1B0F"/>
    <w:rsid w:val="00EE3384"/>
    <w:rsid w:val="00EE4DE9"/>
    <w:rsid w:val="00EF01E1"/>
    <w:rsid w:val="00EF3047"/>
    <w:rsid w:val="00F073CF"/>
    <w:rsid w:val="00F20920"/>
    <w:rsid w:val="00F237D3"/>
    <w:rsid w:val="00F26A26"/>
    <w:rsid w:val="00F32212"/>
    <w:rsid w:val="00F376D5"/>
    <w:rsid w:val="00F3780A"/>
    <w:rsid w:val="00F466CC"/>
    <w:rsid w:val="00F56318"/>
    <w:rsid w:val="00F60237"/>
    <w:rsid w:val="00F82525"/>
    <w:rsid w:val="00F96C19"/>
    <w:rsid w:val="00F97FEA"/>
    <w:rsid w:val="00FA144F"/>
    <w:rsid w:val="00FB3623"/>
    <w:rsid w:val="00FB41CF"/>
    <w:rsid w:val="00FB64A5"/>
    <w:rsid w:val="00FD7F09"/>
    <w:rsid w:val="00FE1BA1"/>
    <w:rsid w:val="00FE4F94"/>
    <w:rsid w:val="00FF52AE"/>
    <w:rsid w:val="00FF58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26A2627-AAEB-48A9-9356-CA3ACBBA5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E3D0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004E9E" w:themeColor="text2"/>
      <w:sz w:val="18"/>
    </w:rPr>
  </w:style>
  <w:style w:type="character" w:customStyle="1" w:styleId="FuzeileZchn">
    <w:name w:val="Fußzeile Zchn"/>
    <w:basedOn w:val="Absatz-Standardschriftart"/>
    <w:link w:val="Fuzeile"/>
    <w:uiPriority w:val="99"/>
    <w:rsid w:val="00642EB6"/>
    <w:rPr>
      <w:color w:val="004E9E"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180D64"/>
    <w:pPr>
      <w:spacing w:line="600" w:lineRule="exact"/>
      <w:contextualSpacing/>
    </w:pPr>
    <w:rPr>
      <w:rFonts w:asciiTheme="majorHAnsi" w:eastAsiaTheme="majorEastAsia" w:hAnsiTheme="majorHAnsi" w:cstheme="majorBidi"/>
      <w:b/>
      <w:color w:val="004E9E" w:themeColor="text2"/>
      <w:sz w:val="40"/>
      <w:szCs w:val="52"/>
    </w:rPr>
  </w:style>
  <w:style w:type="character" w:customStyle="1" w:styleId="TitelZchn">
    <w:name w:val="Titel Zchn"/>
    <w:basedOn w:val="Absatz-Standardschriftart"/>
    <w:link w:val="Titel"/>
    <w:rsid w:val="00180D64"/>
    <w:rPr>
      <w:rFonts w:asciiTheme="majorHAnsi" w:eastAsiaTheme="majorEastAsia" w:hAnsiTheme="majorHAnsi" w:cstheme="majorBidi"/>
      <w:b/>
      <w:color w:val="004E9E" w:themeColor="text2"/>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9867AC"/>
    <w:pPr>
      <w:numPr>
        <w:numId w:val="22"/>
      </w:numPr>
      <w:spacing w:after="120" w:line="280" w:lineRule="atLeast"/>
      <w:contextualSpacing/>
    </w:pPr>
    <w:rPr>
      <w:sz w:val="22"/>
    </w:rPr>
  </w:style>
  <w:style w:type="paragraph" w:customStyle="1" w:styleId="Bulletpoint2">
    <w:name w:val="Bulletpoint 2"/>
    <w:basedOn w:val="Standard"/>
    <w:uiPriority w:val="5"/>
    <w:qFormat/>
    <w:rsid w:val="009867AC"/>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9867AC"/>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004E9E" w:themeColor="text2"/>
        <w:bottom w:val="single" w:sz="2" w:space="0" w:color="004E9E" w:themeColor="text2"/>
        <w:right w:val="single" w:sz="2" w:space="0" w:color="004E9E" w:themeColor="text2"/>
        <w:insideH w:val="single" w:sz="2" w:space="0" w:color="004E9E" w:themeColor="text2"/>
        <w:insideV w:val="single" w:sz="2" w:space="0" w:color="004E9E"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004E9E" w:themeColor="text2"/>
          <w:bottom w:val="single" w:sz="2" w:space="0" w:color="FFFFFF" w:themeColor="background1"/>
          <w:right w:val="single" w:sz="2" w:space="0" w:color="004E9E" w:themeColor="text2"/>
          <w:insideH w:val="single" w:sz="2" w:space="0" w:color="FFFFFF" w:themeColor="background1"/>
          <w:insideV w:val="single" w:sz="2" w:space="0" w:color="FFFFFF" w:themeColor="background1"/>
          <w:tl2br w:val="nil"/>
          <w:tr2bl w:val="nil"/>
        </w:tcBorders>
        <w:shd w:val="clear" w:color="auto" w:fill="004E9E"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customStyle="1" w:styleId="Subtitel-Unterstrichen1">
    <w:name w:val="Subtitel-Unterstrichen1"/>
    <w:basedOn w:val="Standard"/>
    <w:qFormat/>
    <w:rsid w:val="00C953A1"/>
    <w:pPr>
      <w:pBdr>
        <w:bottom w:val="single" w:sz="12" w:space="1" w:color="auto"/>
      </w:pBdr>
      <w:spacing w:line="276" w:lineRule="auto"/>
      <w:contextualSpacing/>
    </w:pPr>
    <w:rPr>
      <w:rFonts w:ascii="Verdana" w:hAnsi="Verdana"/>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K:\V\VK\2-VK-INTERN\02_pr\08_Vorlagen_Wirtgen\PR_KLEEEMANN_Vorlage.dotx" TargetMode="External"/></Relationships>
</file>

<file path=word/theme/theme1.xml><?xml version="1.0" encoding="utf-8"?>
<a:theme xmlns:a="http://schemas.openxmlformats.org/drawingml/2006/main" name="Office Theme">
  <a:themeElements>
    <a:clrScheme name="Wirtgen_Kleemann">
      <a:dk1>
        <a:srgbClr val="41535D"/>
      </a:dk1>
      <a:lt1>
        <a:sysClr val="window" lastClr="FFFFFF"/>
      </a:lt1>
      <a:dk2>
        <a:srgbClr val="004E9E"/>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9B86D6F5-CD6C-4547-A804-D79CDAFB3F1D}">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PR_KLEEEMANN_Vorlage</Template>
  <TotalTime>0</TotalTime>
  <Pages>3</Pages>
  <Words>577</Words>
  <Characters>3642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Kathrin</dc:creator>
  <cp:lastModifiedBy>Richetti Stella</cp:lastModifiedBy>
  <cp:revision>3</cp:revision>
  <cp:lastPrinted>2019-03-01T08:49:00Z</cp:lastPrinted>
  <dcterms:created xsi:type="dcterms:W3CDTF">2019-03-06T07:55:00Z</dcterms:created>
  <dcterms:modified xsi:type="dcterms:W3CDTF">2019-03-11T14:19:00Z</dcterms:modified>
</cp:coreProperties>
</file>